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7769D" w14:textId="77777777" w:rsidR="00BB7EE0" w:rsidRPr="00FE3E2C" w:rsidRDefault="00BB7EE0" w:rsidP="00FE3E2C">
      <w:pPr>
        <w:spacing w:line="276" w:lineRule="auto"/>
        <w:jc w:val="center"/>
        <w:rPr>
          <w:rFonts w:ascii="Arial" w:hAnsi="Arial" w:cs="Arial"/>
        </w:rPr>
      </w:pPr>
      <w:r>
        <w:rPr>
          <w:rStyle w:val="Strong"/>
          <w:rFonts w:ascii="Arial" w:hAnsi="Arial" w:cs="Arial"/>
          <w:caps/>
          <w:color w:val="000000"/>
          <w:sz w:val="28"/>
          <w:szCs w:val="28"/>
        </w:rPr>
        <w:t>UNICORNS IN THE GARDEN OF GOOD AND EVIL</w:t>
      </w:r>
      <w:r>
        <w:rPr>
          <w:rStyle w:val="Strong"/>
          <w:rFonts w:ascii="Arial" w:hAnsi="Arial" w:cs="Arial"/>
          <w:caps/>
          <w:color w:val="000000"/>
          <w:sz w:val="28"/>
          <w:szCs w:val="28"/>
        </w:rPr>
        <w:br/>
        <w:t>PART 9 –</w:t>
      </w:r>
      <w:r w:rsidR="001B0E0E">
        <w:rPr>
          <w:rStyle w:val="Strong"/>
          <w:rFonts w:ascii="Arial" w:hAnsi="Arial" w:cs="Arial"/>
          <w:caps/>
          <w:color w:val="000000"/>
          <w:sz w:val="28"/>
          <w:szCs w:val="28"/>
        </w:rPr>
        <w:t xml:space="preserve"> </w:t>
      </w:r>
      <w:r>
        <w:rPr>
          <w:rStyle w:val="Strong"/>
          <w:rFonts w:ascii="Arial" w:hAnsi="Arial" w:cs="Arial"/>
          <w:caps/>
          <w:color w:val="000000"/>
          <w:sz w:val="28"/>
          <w:szCs w:val="28"/>
        </w:rPr>
        <w:t>tight oil</w:t>
      </w:r>
      <w:r w:rsidR="00FE3E2C">
        <w:rPr>
          <w:rStyle w:val="Strong"/>
          <w:rFonts w:ascii="Arial" w:hAnsi="Arial" w:cs="Arial"/>
          <w:caps/>
          <w:color w:val="000000"/>
          <w:sz w:val="28"/>
          <w:szCs w:val="28"/>
        </w:rPr>
        <w:t xml:space="preserve"> / SHALE OIL</w:t>
      </w:r>
      <w:r>
        <w:rPr>
          <w:rStyle w:val="Strong"/>
          <w:rFonts w:ascii="Arial" w:hAnsi="Arial" w:cs="Arial"/>
          <w:caps/>
          <w:color w:val="000000"/>
          <w:sz w:val="28"/>
          <w:szCs w:val="28"/>
        </w:rPr>
        <w:t xml:space="preserve"> RESERVOIRS</w:t>
      </w:r>
      <w:r>
        <w:rPr>
          <w:rFonts w:ascii="Arial" w:hAnsi="Arial" w:cs="Arial"/>
          <w:b/>
          <w:bCs/>
          <w:color w:val="000000"/>
        </w:rPr>
        <w:t xml:space="preserve"> </w:t>
      </w:r>
      <w:r>
        <w:rPr>
          <w:rFonts w:ascii="Arial" w:hAnsi="Arial" w:cs="Arial"/>
          <w:b/>
          <w:bCs/>
          <w:color w:val="000000"/>
        </w:rPr>
        <w:br/>
      </w:r>
      <w:r>
        <w:rPr>
          <w:rFonts w:ascii="Arial" w:hAnsi="Arial" w:cs="Arial"/>
          <w:b/>
          <w:bCs/>
          <w:caps/>
          <w:color w:val="000000"/>
          <w:sz w:val="28"/>
          <w:szCs w:val="28"/>
        </w:rPr>
        <w:br/>
      </w:r>
      <w:r w:rsidRPr="00FE3E2C">
        <w:rPr>
          <w:rFonts w:ascii="Arial" w:hAnsi="Arial" w:cs="Arial"/>
        </w:rPr>
        <w:t>E. R. (Ross) Crain</w:t>
      </w:r>
      <w:r w:rsidR="00337166" w:rsidRPr="00FE3E2C">
        <w:rPr>
          <w:rFonts w:ascii="Arial" w:hAnsi="Arial" w:cs="Arial"/>
        </w:rPr>
        <w:t>, P.Eng.</w:t>
      </w:r>
      <w:r w:rsidR="00337166" w:rsidRPr="00FE3E2C">
        <w:rPr>
          <w:rFonts w:ascii="Arial" w:hAnsi="Arial" w:cs="Arial"/>
        </w:rPr>
        <w:br/>
        <w:t>Spectrum 2000 Mindware</w:t>
      </w:r>
      <w:r w:rsidR="00CD0659" w:rsidRPr="00FE3E2C">
        <w:rPr>
          <w:rFonts w:ascii="Arial" w:hAnsi="Arial" w:cs="Arial"/>
        </w:rPr>
        <w:t xml:space="preserve"> Ltd</w:t>
      </w:r>
      <w:r w:rsidRPr="00FE3E2C">
        <w:rPr>
          <w:rFonts w:ascii="Arial" w:hAnsi="Arial" w:cs="Arial"/>
        </w:rPr>
        <w:br/>
      </w:r>
      <w:r w:rsidR="001B0E0E" w:rsidRPr="00FE3E2C">
        <w:rPr>
          <w:rFonts w:ascii="Arial" w:hAnsi="Arial" w:cs="Arial"/>
          <w:bCs/>
        </w:rPr>
        <w:br/>
      </w:r>
      <w:r w:rsidR="001B0E0E" w:rsidRPr="00FE3E2C">
        <w:rPr>
          <w:rFonts w:ascii="Arial" w:hAnsi="Arial" w:cs="Arial"/>
          <w:bCs/>
          <w:i/>
        </w:rPr>
        <w:t>Published in CSPG Reservoir, Jul 2011</w:t>
      </w:r>
      <w:r w:rsidRPr="00FE3E2C">
        <w:rPr>
          <w:rFonts w:ascii="Arial" w:hAnsi="Arial" w:cs="Arial"/>
          <w:i/>
        </w:rPr>
        <w:br/>
      </w:r>
    </w:p>
    <w:p w14:paraId="66BE447E" w14:textId="77777777" w:rsidR="00BB7EE0" w:rsidRPr="00FE3E2C" w:rsidRDefault="00BB7EE0" w:rsidP="00FE3E2C">
      <w:pPr>
        <w:pStyle w:val="NormalWeb"/>
        <w:spacing w:line="276" w:lineRule="auto"/>
        <w:jc w:val="center"/>
        <w:rPr>
          <w:rStyle w:val="Strong"/>
          <w:rFonts w:ascii="Arial" w:hAnsi="Arial" w:cs="Arial"/>
          <w:b w:val="0"/>
          <w:i/>
          <w:iCs/>
        </w:rPr>
      </w:pPr>
      <w:r w:rsidRPr="00FE3E2C">
        <w:rPr>
          <w:rStyle w:val="Strong"/>
          <w:rFonts w:ascii="Arial" w:hAnsi="Arial" w:cs="Arial"/>
          <w:b w:val="0"/>
          <w:i/>
          <w:iCs/>
        </w:rPr>
        <w:t>Unicorns are beautiful, mythical beasts, much sought after by us mere mortals. The same is true for petrophysical models for unconventional reservoirs. This is the ninth and last in a series of review articles outlining the simple beauty of some practical methods for log analysis of the unusual.</w:t>
      </w:r>
    </w:p>
    <w:p w14:paraId="2C567F59" w14:textId="77777777" w:rsidR="00BB7EE0" w:rsidRPr="00FE3E2C" w:rsidRDefault="00BB7EE0" w:rsidP="00FE3E2C">
      <w:pPr>
        <w:pStyle w:val="NormalWeb"/>
        <w:spacing w:line="276" w:lineRule="auto"/>
        <w:rPr>
          <w:rFonts w:ascii="Arial" w:hAnsi="Arial" w:cs="Arial"/>
          <w:bCs/>
        </w:rPr>
      </w:pPr>
      <w:r w:rsidRPr="00FE3E2C">
        <w:rPr>
          <w:rFonts w:ascii="Arial" w:hAnsi="Arial" w:cs="Arial"/>
          <w:bCs/>
          <w:caps/>
          <w:color w:val="000000"/>
        </w:rPr>
        <w:t>Tight Oil</w:t>
      </w:r>
      <w:r w:rsidR="00FE3E2C">
        <w:rPr>
          <w:rFonts w:ascii="Arial" w:hAnsi="Arial" w:cs="Arial"/>
          <w:bCs/>
          <w:caps/>
          <w:color w:val="000000"/>
        </w:rPr>
        <w:t xml:space="preserve"> / SHALE OIL</w:t>
      </w:r>
      <w:r w:rsidRPr="00FE3E2C">
        <w:rPr>
          <w:rFonts w:ascii="Arial" w:hAnsi="Arial" w:cs="Arial"/>
          <w:bCs/>
          <w:caps/>
          <w:color w:val="000000"/>
        </w:rPr>
        <w:t xml:space="preserve"> Reservoir</w:t>
      </w:r>
      <w:r w:rsidRPr="00FE3E2C">
        <w:rPr>
          <w:rStyle w:val="Strong"/>
          <w:rFonts w:ascii="Arial" w:hAnsi="Arial" w:cs="Arial"/>
          <w:b w:val="0"/>
          <w:caps/>
          <w:color w:val="000000"/>
        </w:rPr>
        <w:t xml:space="preserve"> Basics</w:t>
      </w:r>
      <w:r w:rsidRPr="00FE3E2C">
        <w:rPr>
          <w:rStyle w:val="Strong"/>
          <w:rFonts w:ascii="Arial" w:hAnsi="Arial" w:cs="Arial"/>
          <w:b w:val="0"/>
          <w:caps/>
          <w:color w:val="000000"/>
        </w:rPr>
        <w:br/>
      </w:r>
      <w:r w:rsidRPr="00FE3E2C">
        <w:rPr>
          <w:rFonts w:ascii="Arial" w:hAnsi="Arial" w:cs="Arial"/>
          <w:bCs/>
        </w:rPr>
        <w:t xml:space="preserve">Most of us are familiar with tight gas reservoirs – clean, low porosity sandstones or siltstones that look unattractive on log analysis, at least by the conventional wisdom of the 1960’s. By the end of the 1970’s, we had overcome these hang-ups and exploitation in tight sands developed rapidly, along with the fracturing technology needed to make them economic. </w:t>
      </w:r>
    </w:p>
    <w:p w14:paraId="0D60508D" w14:textId="77777777" w:rsidR="00BB7EE0" w:rsidRPr="00FE3E2C" w:rsidRDefault="00BB7EE0" w:rsidP="00FE3E2C">
      <w:pPr>
        <w:pStyle w:val="NormalWeb"/>
        <w:spacing w:line="276" w:lineRule="auto"/>
        <w:rPr>
          <w:rFonts w:ascii="Arial" w:hAnsi="Arial" w:cs="Arial"/>
          <w:bCs/>
        </w:rPr>
      </w:pPr>
      <w:r w:rsidRPr="00FE3E2C">
        <w:rPr>
          <w:rFonts w:ascii="Arial" w:hAnsi="Arial" w:cs="Arial"/>
          <w:bCs/>
        </w:rPr>
        <w:t xml:space="preserve">Further progress in drilling and fracturing of horizontal wells brought us to shale gas, although most such plays are not really shales, but low porosity siltstones or laminated shaly sands. Many are radioactive due to uranium and look like shale on logs, hence the continued reference to “shale”. </w:t>
      </w:r>
    </w:p>
    <w:p w14:paraId="42FEF52F" w14:textId="77777777" w:rsidR="00BB7EE0" w:rsidRPr="00FE3E2C" w:rsidRDefault="00BB7EE0" w:rsidP="00FE3E2C">
      <w:pPr>
        <w:pStyle w:val="NormalWeb"/>
        <w:spacing w:line="276" w:lineRule="auto"/>
        <w:rPr>
          <w:rFonts w:ascii="Arial" w:hAnsi="Arial" w:cs="Arial"/>
          <w:bCs/>
        </w:rPr>
      </w:pPr>
      <w:r w:rsidRPr="00FE3E2C">
        <w:rPr>
          <w:rFonts w:ascii="Arial" w:hAnsi="Arial" w:cs="Arial"/>
          <w:bCs/>
        </w:rPr>
        <w:t>Siltstones are a mixture of quartz and other minerals, predominately dolomite and calcite, but many others may be present. They are characterized by low permeability, usually less than 1 milli-darcy. When filled with gas, we think of these as “tight gas” reservoirs. A conventional complex lithology log analysis model is used and such reservoirs are not considered “unconventional”.</w:t>
      </w:r>
    </w:p>
    <w:p w14:paraId="4A10DC3F" w14:textId="77777777" w:rsidR="00BB7EE0" w:rsidRPr="00FE3E2C" w:rsidRDefault="00BB7EE0" w:rsidP="00FE3E2C">
      <w:pPr>
        <w:pStyle w:val="NormalWeb"/>
        <w:spacing w:line="276" w:lineRule="auto"/>
        <w:rPr>
          <w:rFonts w:ascii="Arial" w:hAnsi="Arial" w:cs="Arial"/>
          <w:bCs/>
        </w:rPr>
      </w:pPr>
      <w:r w:rsidRPr="00FE3E2C">
        <w:rPr>
          <w:rFonts w:ascii="Arial" w:hAnsi="Arial" w:cs="Arial"/>
          <w:bCs/>
        </w:rPr>
        <w:t>When shale volume increases, these reservoirs become shaly silts or silty shales; they may have sufficient organic content to become gas shales with adsorbed gas. Then we use the shale gas model described in an earlier article.</w:t>
      </w:r>
    </w:p>
    <w:p w14:paraId="03DE445E" w14:textId="77777777" w:rsidR="00BB7EE0" w:rsidRPr="00FE3E2C" w:rsidRDefault="00BB7EE0" w:rsidP="00FE3E2C">
      <w:pPr>
        <w:pStyle w:val="NormalWeb"/>
        <w:spacing w:line="276" w:lineRule="auto"/>
        <w:rPr>
          <w:rFonts w:ascii="Arial" w:hAnsi="Arial" w:cs="Arial"/>
          <w:bCs/>
        </w:rPr>
      </w:pPr>
      <w:r w:rsidRPr="00FE3E2C">
        <w:rPr>
          <w:rFonts w:ascii="Arial" w:hAnsi="Arial" w:cs="Arial"/>
          <w:bCs/>
        </w:rPr>
        <w:t>The same revolution is occurring in oil exploration. Tight oil or “shale oil” is the current hot topic. Again, most such plays are siltstones or mudstones without a lot of clay in the reservoir. Siltstones with oil are a different story; “tight oil” is considered to be an “unconventional” reservoir, requiring horizontal wells and massive hydraulic fracture jobs to perform economically. Some siltstones are sufficiently sandy to produce oil in vertical wells, usually after a decent stimulation. Conventional shale corrected complex lithology log analysis models are used, even in shaly silts. However, a total organic carbon (TOC) assessment might also be made over the nearby source rocks and the reservoir interval.</w:t>
      </w:r>
    </w:p>
    <w:p w14:paraId="00F177B6" w14:textId="77777777" w:rsidR="00BB7EE0" w:rsidRPr="00FE3E2C" w:rsidRDefault="00BB7EE0" w:rsidP="00FE3E2C">
      <w:pPr>
        <w:pStyle w:val="NormalWeb"/>
        <w:spacing w:line="276" w:lineRule="auto"/>
        <w:rPr>
          <w:rFonts w:ascii="Arial" w:hAnsi="Arial" w:cs="Arial"/>
          <w:bCs/>
        </w:rPr>
      </w:pPr>
      <w:r w:rsidRPr="00FE3E2C">
        <w:rPr>
          <w:rFonts w:ascii="Arial" w:hAnsi="Arial" w:cs="Arial"/>
          <w:bCs/>
        </w:rPr>
        <w:lastRenderedPageBreak/>
        <w:t>Many siltstones are radioactive because of uranium. It pays to run a spectral gamma ray log to distinguish between uranium and clay content.</w:t>
      </w:r>
    </w:p>
    <w:p w14:paraId="4A8A1F03" w14:textId="77777777" w:rsidR="00BB7EE0" w:rsidRPr="00FE3E2C" w:rsidRDefault="00BB7EE0" w:rsidP="00FE3E2C">
      <w:pPr>
        <w:pStyle w:val="NormalWeb"/>
        <w:spacing w:line="276" w:lineRule="auto"/>
        <w:rPr>
          <w:rFonts w:ascii="Arial" w:hAnsi="Arial" w:cs="Arial"/>
          <w:bCs/>
        </w:rPr>
      </w:pPr>
      <w:r w:rsidRPr="00FE3E2C">
        <w:rPr>
          <w:rFonts w:ascii="Arial" w:hAnsi="Arial" w:cs="Arial"/>
          <w:bCs/>
        </w:rPr>
        <w:t xml:space="preserve">The Bakken formation in the Williston Basin of Saskatchewan, Manitoba, and North Dakota is a classic silt and sandy silt. It is low resistivity due to high salinity formation water with high irreducible water saturation (caused by very fine grain size), and the lithology is a mix of quartz and dolomite (and sometimes calcite). </w:t>
      </w:r>
    </w:p>
    <w:p w14:paraId="2FD4A224" w14:textId="77777777" w:rsidR="00BB7EE0" w:rsidRPr="00FE3E2C" w:rsidRDefault="00BB7EE0" w:rsidP="00FE3E2C">
      <w:pPr>
        <w:pStyle w:val="NormalWeb"/>
        <w:spacing w:line="276" w:lineRule="auto"/>
      </w:pPr>
      <w:r w:rsidRPr="00FE3E2C">
        <w:rPr>
          <w:rFonts w:ascii="Arial" w:hAnsi="Arial" w:cs="Arial"/>
          <w:bCs/>
        </w:rPr>
        <w:t xml:space="preserve">In Alberta and Montana, the Bakken equivalent, the </w:t>
      </w:r>
      <w:proofErr w:type="spellStart"/>
      <w:r w:rsidRPr="00FE3E2C">
        <w:rPr>
          <w:rFonts w:ascii="Arial" w:hAnsi="Arial" w:cs="Arial"/>
          <w:bCs/>
        </w:rPr>
        <w:t>Exshaw</w:t>
      </w:r>
      <w:proofErr w:type="spellEnd"/>
      <w:r w:rsidRPr="00FE3E2C">
        <w:rPr>
          <w:rFonts w:ascii="Arial" w:hAnsi="Arial" w:cs="Arial"/>
          <w:bCs/>
        </w:rPr>
        <w:t xml:space="preserve">, and adjacent formations (Banff / Lodgepole and Big Valley / Three Forks) are “Tight Oil” prospects, as are the Duvernay, Second White Specks, </w:t>
      </w:r>
      <w:proofErr w:type="spellStart"/>
      <w:r w:rsidRPr="00FE3E2C">
        <w:rPr>
          <w:rFonts w:ascii="Arial" w:hAnsi="Arial" w:cs="Arial"/>
          <w:bCs/>
        </w:rPr>
        <w:t>Nordegg</w:t>
      </w:r>
      <w:proofErr w:type="spellEnd"/>
      <w:r w:rsidRPr="00FE3E2C">
        <w:rPr>
          <w:rFonts w:ascii="Arial" w:hAnsi="Arial" w:cs="Arial"/>
          <w:bCs/>
        </w:rPr>
        <w:t>, and other formerly unattractive low porosity reservoirs.</w:t>
      </w:r>
    </w:p>
    <w:p w14:paraId="0B5CFB2D" w14:textId="77777777" w:rsidR="00BB7EE0" w:rsidRPr="00FE3E2C" w:rsidRDefault="00BB7EE0" w:rsidP="00FE3E2C">
      <w:pPr>
        <w:pStyle w:val="NormalWeb"/>
        <w:spacing w:line="276" w:lineRule="auto"/>
      </w:pPr>
      <w:r w:rsidRPr="00FE3E2C">
        <w:rPr>
          <w:rFonts w:ascii="Arial" w:hAnsi="Arial" w:cs="Arial"/>
          <w:bCs/>
        </w:rPr>
        <w:t xml:space="preserve">In Saskatchewan, the naturally low resistivity in Bakken pay zones is further aggravated by thin clay laminations, clay filled burrows, laminated porosity, and dispersed pyrite. </w:t>
      </w:r>
    </w:p>
    <w:p w14:paraId="091C9464" w14:textId="77777777" w:rsidR="00BB7EE0" w:rsidRPr="00FE3E2C" w:rsidRDefault="00BB7EE0" w:rsidP="00FE3E2C">
      <w:pPr>
        <w:pStyle w:val="NormalWeb"/>
        <w:spacing w:line="276" w:lineRule="auto"/>
      </w:pPr>
      <w:r w:rsidRPr="00FE3E2C">
        <w:rPr>
          <w:rFonts w:ascii="Arial" w:hAnsi="Arial" w:cs="Arial"/>
          <w:bCs/>
        </w:rPr>
        <w:t>Even more confusing is the water resistivity variation on the northwest and northeast edges of the Basin. Here, wet wells have higher resistivity than oil wells further south because the water resistivity is 5 to 20 times higher than deeper in the Basin. This results from fresher water recharge from the Black Hills of North Dakota. An adequate production testing program is the only solution to this issue, as there is no log analysis model that will predict water resistivity in this reservoir.</w:t>
      </w:r>
      <w:r w:rsidRPr="00FE3E2C">
        <w:rPr>
          <w:rFonts w:ascii="Arial" w:hAnsi="Arial" w:cs="Arial"/>
          <w:bCs/>
        </w:rPr>
        <w:br/>
      </w:r>
      <w:r w:rsidRPr="00FE3E2C">
        <w:rPr>
          <w:rFonts w:ascii="Arial" w:hAnsi="Arial" w:cs="Arial"/>
          <w:bCs/>
        </w:rPr>
        <w:br/>
        <w:t xml:space="preserve">Water salinity in the deeper North Dakota wells reaches 325,000 ppm, making for exceedingly low water resistivity. In Saskatchewan, salinity is usually at 200,000 ppm or more, but can be as low as 25,000 ppm in the recharge area. Pore geometry in the deeper parts is more intergranular in texture and irreducible water saturation is lower than in Saskatchewan. </w:t>
      </w:r>
    </w:p>
    <w:p w14:paraId="287565CB" w14:textId="77777777" w:rsidR="00BB7EE0" w:rsidRPr="00FE3E2C" w:rsidRDefault="00BB7EE0" w:rsidP="00FE3E2C">
      <w:pPr>
        <w:pStyle w:val="NormalWeb"/>
        <w:spacing w:line="276" w:lineRule="auto"/>
      </w:pPr>
      <w:r w:rsidRPr="00FE3E2C">
        <w:rPr>
          <w:rFonts w:ascii="Arial" w:hAnsi="Arial" w:cs="Arial"/>
          <w:bCs/>
        </w:rPr>
        <w:t>Typical SW in Saskatchewan averages 50% grading southward to about 30% in the deeper North Dakota wells. Very low apparent SW in Saskatchewan usually means fresh water recharge, possibly with some residual oil. The "best-looking" wells are actually water producers, but have measured resistivity values 2 to 4 times higher than productive oil wells. Water resistivity values are sparse, so any water recovery should be sent to the lab and analyzed.</w:t>
      </w:r>
    </w:p>
    <w:p w14:paraId="3ACEEFB1" w14:textId="77777777" w:rsidR="00BB7EE0" w:rsidRPr="00FE3E2C" w:rsidRDefault="00BB7EE0" w:rsidP="00FE3E2C">
      <w:pPr>
        <w:pStyle w:val="NormalWeb"/>
        <w:spacing w:line="276" w:lineRule="auto"/>
      </w:pPr>
      <w:r w:rsidRPr="00FE3E2C">
        <w:rPr>
          <w:rFonts w:ascii="Arial" w:hAnsi="Arial" w:cs="Arial"/>
          <w:bCs/>
        </w:rPr>
        <w:t>The low resistivity, high radioactivity, large density neutron separation caused by dolomite and pyrite, and the high PE value (near 3) conspire to make the zone look like shale on logs. Worse, some literature continues to name the producing zone the Bakken Shale, even though we know the Middle Bakken is a radioactive dolomitic sand or siltstone. These conflicts in the conventional data suggest strongly that some special core analysis should be done, namely electrical properties, capillary pressure, X-Ray diffraction and thin section mineralogy, and anything else that can help explain the petrophysical response to these complex rocks.</w:t>
      </w:r>
    </w:p>
    <w:p w14:paraId="2FCE3610" w14:textId="77777777" w:rsidR="00BB7EE0" w:rsidRPr="00FE3E2C" w:rsidRDefault="00BB7EE0" w:rsidP="00FE3E2C">
      <w:pPr>
        <w:pStyle w:val="NormalWeb"/>
        <w:spacing w:line="276" w:lineRule="auto"/>
      </w:pPr>
      <w:r w:rsidRPr="00FE3E2C">
        <w:rPr>
          <w:rFonts w:ascii="Arial" w:hAnsi="Arial" w:cs="Arial"/>
          <w:bCs/>
        </w:rPr>
        <w:t xml:space="preserve">The Bakken is now the biggest oil play in North America, and may ultimately be the largest ever found, even larger than Alaska North Slope. It is sometimes termed an "unconventional" reservoir, due to the low permeability of the siltstone intervals. In North Dakota, it is also called a "resource" play because the oil was formed in place (from the Upper and Lower Bakken </w:t>
      </w:r>
      <w:r w:rsidRPr="00FE3E2C">
        <w:rPr>
          <w:rFonts w:ascii="Arial" w:hAnsi="Arial" w:cs="Arial"/>
          <w:bCs/>
        </w:rPr>
        <w:lastRenderedPageBreak/>
        <w:t>Shales), although in Saskatchewan the oil migrated from the deeper parts of the basin, and is not strictly speaking a resource play there. Alberta and Montana is also probably a resource play, but few facts have been published so it is hard to tell.</w:t>
      </w:r>
    </w:p>
    <w:p w14:paraId="14FCD8B6" w14:textId="77777777" w:rsidR="00BB7EE0" w:rsidRPr="00FE3E2C" w:rsidRDefault="00BB7EE0" w:rsidP="00FE3E2C">
      <w:pPr>
        <w:pStyle w:val="NormalWeb"/>
        <w:spacing w:line="276" w:lineRule="auto"/>
      </w:pPr>
      <w:r w:rsidRPr="00FE3E2C">
        <w:rPr>
          <w:rFonts w:ascii="Arial" w:hAnsi="Arial" w:cs="Arial"/>
          <w:bCs/>
        </w:rPr>
        <w:t xml:space="preserve">Vertical wells are not overly prolific due to the low intrinsic permeability of the silty sand, but most horizontal wells do OK. In the deep, hot, over-pressured region in North Dakota, some wells are flowing 1000 to 2000 barrels per day. </w:t>
      </w:r>
    </w:p>
    <w:p w14:paraId="431269E0" w14:textId="77777777" w:rsidR="00BB7EE0" w:rsidRPr="00FE3E2C" w:rsidRDefault="00BB7EE0" w:rsidP="00FE3E2C">
      <w:pPr>
        <w:pStyle w:val="NormalWeb"/>
        <w:spacing w:line="276" w:lineRule="auto"/>
      </w:pPr>
      <w:r w:rsidRPr="00FE3E2C">
        <w:br/>
      </w:r>
      <w:bookmarkStart w:id="0" w:name="b801a"/>
      <w:bookmarkEnd w:id="0"/>
      <w:r w:rsidRPr="00FE3E2C">
        <w:rPr>
          <w:rStyle w:val="Strong"/>
          <w:rFonts w:ascii="Arial" w:hAnsi="Arial" w:cs="Arial"/>
          <w:caps/>
          <w:color w:val="000000"/>
        </w:rPr>
        <w:t>Bakken Geology</w:t>
      </w:r>
      <w:r w:rsidRPr="00FE3E2C">
        <w:rPr>
          <w:rFonts w:ascii="Arial" w:hAnsi="Arial" w:cs="Arial"/>
          <w:bCs/>
          <w:caps/>
          <w:color w:val="000000"/>
        </w:rPr>
        <w:br/>
      </w:r>
      <w:r w:rsidRPr="00FE3E2C">
        <w:rPr>
          <w:rFonts w:ascii="Arial" w:hAnsi="Arial" w:cs="Arial"/>
          <w:bCs/>
        </w:rPr>
        <w:t>Oil in the Bakken in southeastern Saskatchewan has migrated from mature Bakken source rocks in North Dakota and Montana. The best reservoir is associated with the Upper Middle Bakken Sandstone Facies (BF4).  Average porosity ranges from 14% to 16% and permeabilities are 20 to 80 millidarcies. The unconventional siltstone reservoir (BF2) averages 9% to 12% porosity and 0.01 to 1.0 millidarcies. In the deeper North Dakota wells, porosity is somewhat lower but permeability may be higher. All facies types have been exploited in different parts of the Basin.</w:t>
      </w:r>
    </w:p>
    <w:p w14:paraId="34749336" w14:textId="77777777" w:rsidR="00BB7EE0" w:rsidRPr="00FE3E2C" w:rsidRDefault="00BB7EE0" w:rsidP="00FE3E2C">
      <w:pPr>
        <w:pStyle w:val="NormalWeb"/>
        <w:spacing w:line="276" w:lineRule="auto"/>
      </w:pPr>
      <w:r w:rsidRPr="00FE3E2C">
        <w:rPr>
          <w:rFonts w:ascii="Arial" w:hAnsi="Arial" w:cs="Arial"/>
          <w:bCs/>
        </w:rPr>
        <w:t>These facies were deposited during the late Devonian and early Mississippian in what was then a tropical setting. The sediment is believed to have an aeolian source and was blown into the marine environment from the adjacent arid landmass to the east and reworked into the various marine facies. The organic rich Upper and Lower Bakken shales are the source rocks for the sand and silt reservoirs.</w:t>
      </w:r>
    </w:p>
    <w:p w14:paraId="77405A7A" w14:textId="77777777" w:rsidR="00BB7EE0" w:rsidRPr="00FE3E2C" w:rsidRDefault="00BB7EE0" w:rsidP="00FE3E2C">
      <w:pPr>
        <w:pStyle w:val="NormalWeb"/>
        <w:spacing w:line="276" w:lineRule="auto"/>
      </w:pPr>
      <w:r w:rsidRPr="00FE3E2C">
        <w:rPr>
          <w:rFonts w:ascii="Arial" w:hAnsi="Arial" w:cs="Arial"/>
          <w:bCs/>
        </w:rPr>
        <w:t>The sands and silts are highly dolomitic, averaging about 50% dolomite. In deeper wells, calcite may replace some of the dolomite or infill some porosity.</w:t>
      </w:r>
    </w:p>
    <w:p w14:paraId="7ADBEEAE" w14:textId="77777777" w:rsidR="00BB7EE0" w:rsidRPr="00FE3E2C" w:rsidRDefault="00BB7EE0" w:rsidP="00FE3E2C">
      <w:pPr>
        <w:pStyle w:val="PlainText"/>
        <w:spacing w:line="276" w:lineRule="auto"/>
      </w:pPr>
      <w:r w:rsidRPr="00FE3E2C">
        <w:rPr>
          <w:rFonts w:ascii="Arial" w:hAnsi="Arial" w:cs="Arial"/>
          <w:bCs/>
        </w:rPr>
        <w:t>Many of the dominant features of the Bakken are below the resolution of logging tools and are best seen in core photos and core logs, as shown below. </w:t>
      </w:r>
    </w:p>
    <w:p w14:paraId="62608CDC" w14:textId="77777777" w:rsidR="00BB7EE0" w:rsidRPr="00FE3E2C" w:rsidRDefault="00A51316" w:rsidP="00FE3E2C">
      <w:pPr>
        <w:pStyle w:val="NormalWeb"/>
        <w:spacing w:line="276" w:lineRule="auto"/>
        <w:jc w:val="center"/>
      </w:pPr>
      <w:r w:rsidRPr="00FE3E2C">
        <w:rPr>
          <w:rFonts w:ascii="Arial" w:hAnsi="Arial" w:cs="Arial"/>
          <w:bCs/>
          <w:i/>
          <w:iCs/>
          <w:noProof/>
          <w:lang w:val="en-CA" w:eastAsia="en-CA"/>
        </w:rPr>
        <w:lastRenderedPageBreak/>
        <w:drawing>
          <wp:inline distT="0" distB="0" distL="0" distR="0" wp14:anchorId="18DE5443" wp14:editId="245344BD">
            <wp:extent cx="5728335" cy="3827780"/>
            <wp:effectExtent l="38100" t="38100" r="43815" b="39370"/>
            <wp:docPr id="1" name="Picture 1" descr="bakc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co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8335" cy="3827780"/>
                    </a:xfrm>
                    <a:prstGeom prst="rect">
                      <a:avLst/>
                    </a:prstGeom>
                    <a:noFill/>
                    <a:ln w="28575" cmpd="sng">
                      <a:solidFill>
                        <a:srgbClr val="000000"/>
                      </a:solidFill>
                      <a:miter lim="800000"/>
                      <a:headEnd/>
                      <a:tailEnd/>
                    </a:ln>
                    <a:effectLst/>
                  </pic:spPr>
                </pic:pic>
              </a:graphicData>
            </a:graphic>
          </wp:inline>
        </w:drawing>
      </w:r>
      <w:r w:rsidR="00BB7EE0" w:rsidRPr="00FE3E2C">
        <w:rPr>
          <w:rFonts w:ascii="Arial" w:hAnsi="Arial" w:cs="Arial"/>
          <w:bCs/>
          <w:i/>
          <w:iCs/>
        </w:rPr>
        <w:br/>
        <w:t xml:space="preserve">Figure 1: </w:t>
      </w:r>
      <w:r w:rsidR="00BB7EE0" w:rsidRPr="00FE3E2C">
        <w:rPr>
          <w:rStyle w:val="Strong"/>
          <w:rFonts w:ascii="Arial" w:hAnsi="Arial" w:cs="Arial"/>
          <w:b w:val="0"/>
          <w:i/>
          <w:iCs/>
        </w:rPr>
        <w:t>Core photo of Middle Bakken burrowed siltstone</w:t>
      </w:r>
      <w:r w:rsidR="00BB7EE0" w:rsidRPr="00FE3E2C">
        <w:rPr>
          <w:rFonts w:ascii="Arial" w:hAnsi="Arial" w:cs="Arial"/>
          <w:bCs/>
          <w:i/>
          <w:iCs/>
        </w:rPr>
        <w:br/>
      </w:r>
      <w:r w:rsidR="00BB7EE0" w:rsidRPr="00FE3E2C">
        <w:rPr>
          <w:rFonts w:ascii="Arial" w:hAnsi="Arial" w:cs="Arial"/>
          <w:bCs/>
          <w:i/>
          <w:iCs/>
        </w:rPr>
        <w:br/>
      </w:r>
      <w:r w:rsidR="00BB7EE0" w:rsidRPr="00FE3E2C">
        <w:rPr>
          <w:rStyle w:val="Strong"/>
          <w:rFonts w:ascii="Arial" w:hAnsi="Arial" w:cs="Arial"/>
          <w:b w:val="0"/>
          <w:i/>
          <w:iCs/>
        </w:rPr>
        <w:t> </w:t>
      </w:r>
      <w:r w:rsidRPr="00FE3E2C">
        <w:rPr>
          <w:rFonts w:ascii="Arial" w:hAnsi="Arial" w:cs="Arial"/>
          <w:bCs/>
          <w:i/>
          <w:iCs/>
          <w:noProof/>
          <w:lang w:val="en-CA" w:eastAsia="en-CA"/>
        </w:rPr>
        <w:drawing>
          <wp:inline distT="0" distB="0" distL="0" distR="0" wp14:anchorId="2980DB8E" wp14:editId="4F73A8B5">
            <wp:extent cx="5728335" cy="3263265"/>
            <wp:effectExtent l="38100" t="38100" r="43815" b="32385"/>
            <wp:docPr id="2" name="Picture 2" descr="bakc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kco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8335" cy="3263265"/>
                    </a:xfrm>
                    <a:prstGeom prst="rect">
                      <a:avLst/>
                    </a:prstGeom>
                    <a:noFill/>
                    <a:ln w="28575" cmpd="sng">
                      <a:solidFill>
                        <a:srgbClr val="000000"/>
                      </a:solidFill>
                      <a:miter lim="800000"/>
                      <a:headEnd/>
                      <a:tailEnd/>
                    </a:ln>
                    <a:effectLst/>
                  </pic:spPr>
                </pic:pic>
              </a:graphicData>
            </a:graphic>
          </wp:inline>
        </w:drawing>
      </w:r>
      <w:r w:rsidR="00BB7EE0" w:rsidRPr="00FE3E2C">
        <w:rPr>
          <w:rFonts w:ascii="Arial" w:hAnsi="Arial" w:cs="Arial"/>
          <w:bCs/>
          <w:i/>
          <w:iCs/>
        </w:rPr>
        <w:br/>
        <w:t xml:space="preserve">Figure 2: </w:t>
      </w:r>
      <w:r w:rsidR="00BB7EE0" w:rsidRPr="00FE3E2C">
        <w:rPr>
          <w:rStyle w:val="Strong"/>
          <w:rFonts w:ascii="Arial" w:hAnsi="Arial" w:cs="Arial"/>
          <w:b w:val="0"/>
          <w:i/>
          <w:iCs/>
        </w:rPr>
        <w:t>Core photo of Middle Bakken laminated fine grained sandstone</w:t>
      </w:r>
      <w:r w:rsidR="00BB7EE0" w:rsidRPr="00FE3E2C">
        <w:rPr>
          <w:rFonts w:ascii="Arial" w:hAnsi="Arial" w:cs="Arial"/>
          <w:bCs/>
          <w:i/>
          <w:iCs/>
        </w:rPr>
        <w:br/>
      </w:r>
      <w:r w:rsidR="00BB7EE0" w:rsidRPr="00FE3E2C">
        <w:rPr>
          <w:rFonts w:ascii="Arial" w:hAnsi="Arial" w:cs="Arial"/>
          <w:bCs/>
          <w:i/>
          <w:iCs/>
        </w:rPr>
        <w:br/>
      </w:r>
      <w:r w:rsidRPr="00FE3E2C">
        <w:rPr>
          <w:rFonts w:ascii="Arial" w:hAnsi="Arial" w:cs="Arial"/>
          <w:bCs/>
          <w:i/>
          <w:iCs/>
          <w:noProof/>
          <w:lang w:val="en-CA" w:eastAsia="en-CA"/>
        </w:rPr>
        <w:lastRenderedPageBreak/>
        <w:drawing>
          <wp:inline distT="0" distB="0" distL="0" distR="0" wp14:anchorId="231C0498" wp14:editId="04E8F0B9">
            <wp:extent cx="4778375" cy="3406775"/>
            <wp:effectExtent l="38100" t="38100" r="41275" b="41275"/>
            <wp:docPr id="3" name="Picture 3" descr="bakc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co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8375" cy="3406775"/>
                    </a:xfrm>
                    <a:prstGeom prst="rect">
                      <a:avLst/>
                    </a:prstGeom>
                    <a:noFill/>
                    <a:ln w="28575" cmpd="sng">
                      <a:solidFill>
                        <a:srgbClr val="000000"/>
                      </a:solidFill>
                      <a:miter lim="800000"/>
                      <a:headEnd/>
                      <a:tailEnd/>
                    </a:ln>
                    <a:effectLst/>
                  </pic:spPr>
                </pic:pic>
              </a:graphicData>
            </a:graphic>
          </wp:inline>
        </w:drawing>
      </w:r>
      <w:r w:rsidR="00BB7EE0" w:rsidRPr="00FE3E2C">
        <w:rPr>
          <w:rFonts w:ascii="Arial" w:hAnsi="Arial" w:cs="Arial"/>
          <w:bCs/>
          <w:i/>
          <w:iCs/>
        </w:rPr>
        <w:br/>
        <w:t xml:space="preserve">Figure 3: </w:t>
      </w:r>
      <w:r w:rsidR="00BB7EE0" w:rsidRPr="00FE3E2C">
        <w:rPr>
          <w:rStyle w:val="Strong"/>
          <w:rFonts w:ascii="Arial" w:hAnsi="Arial" w:cs="Arial"/>
          <w:b w:val="0"/>
          <w:i/>
          <w:iCs/>
        </w:rPr>
        <w:t xml:space="preserve">Core photos and core description show the detail that logs can't see. Illustrations courtesy Graham Davies Geological Consultants and Canadian </w:t>
      </w:r>
      <w:r w:rsidRPr="00FE3E2C">
        <w:rPr>
          <w:noProof/>
          <w:lang w:val="en-CA" w:eastAsia="en-CA"/>
        </w:rPr>
        <w:drawing>
          <wp:anchor distT="0" distB="0" distL="0" distR="0" simplePos="0" relativeHeight="251657216" behindDoc="0" locked="0" layoutInCell="1" allowOverlap="0" wp14:anchorId="776790D7" wp14:editId="5B2C8BAE">
            <wp:simplePos x="0" y="0"/>
            <wp:positionH relativeFrom="column">
              <wp:posOffset>3878580</wp:posOffset>
            </wp:positionH>
            <wp:positionV relativeFrom="line">
              <wp:posOffset>381635</wp:posOffset>
            </wp:positionV>
            <wp:extent cx="2541905" cy="4584065"/>
            <wp:effectExtent l="19050" t="19050" r="10795" b="26035"/>
            <wp:wrapSquare wrapText="bothSides"/>
            <wp:docPr id="47" name="Picture 47" descr="IMG_SK2_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SK2_NG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1905" cy="4584065"/>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B7EE0" w:rsidRPr="00FE3E2C">
        <w:rPr>
          <w:rStyle w:val="Strong"/>
          <w:rFonts w:ascii="Arial" w:hAnsi="Arial" w:cs="Arial"/>
          <w:b w:val="0"/>
          <w:i/>
          <w:iCs/>
        </w:rPr>
        <w:t xml:space="preserve">Discovery Ltd. </w:t>
      </w:r>
    </w:p>
    <w:p w14:paraId="2D08B34F" w14:textId="77777777" w:rsidR="00BB7EE0" w:rsidRPr="00FE3E2C" w:rsidRDefault="00BB7EE0" w:rsidP="00FE3E2C">
      <w:pPr>
        <w:pStyle w:val="NormalWeb"/>
        <w:spacing w:line="276" w:lineRule="auto"/>
      </w:pPr>
      <w:bookmarkStart w:id="1" w:name="b802a"/>
      <w:bookmarkEnd w:id="1"/>
      <w:r w:rsidRPr="00EA5033">
        <w:rPr>
          <w:rStyle w:val="Strong"/>
          <w:rFonts w:ascii="Arial" w:hAnsi="Arial" w:cs="Arial"/>
          <w:caps/>
          <w:color w:val="000000"/>
        </w:rPr>
        <w:t>Bakken Calculation Model</w:t>
      </w:r>
      <w:r w:rsidRPr="00EA5033">
        <w:rPr>
          <w:rFonts w:ascii="Arial" w:hAnsi="Arial" w:cs="Arial"/>
          <w:bCs/>
          <w:caps/>
          <w:color w:val="000000"/>
        </w:rPr>
        <w:br/>
      </w:r>
      <w:r w:rsidRPr="00FE3E2C">
        <w:rPr>
          <w:rFonts w:ascii="Arial" w:hAnsi="Arial" w:cs="Arial"/>
          <w:bCs/>
        </w:rPr>
        <w:t>The Bakken is radioactive due mainly to uranium that migrated with the oil. This can be identified with a spectral gamma ray log and it should always be run when penetrating radioactive sands. Sadly, it is often not requested, even though the service is cheap and costs no extra rig time.</w:t>
      </w:r>
    </w:p>
    <w:p w14:paraId="41D399F1" w14:textId="77777777" w:rsidR="00BB7EE0" w:rsidRPr="00FE3E2C" w:rsidRDefault="00BB7EE0" w:rsidP="00FE3E2C">
      <w:pPr>
        <w:pStyle w:val="NormalWeb"/>
        <w:spacing w:line="276" w:lineRule="auto"/>
      </w:pPr>
      <w:r w:rsidRPr="00FE3E2C">
        <w:rPr>
          <w:rFonts w:ascii="Arial" w:hAnsi="Arial" w:cs="Arial"/>
          <w:bCs/>
          <w:i/>
          <w:iCs/>
        </w:rPr>
        <w:t>Figure 4: Spectral gamma ray log shows Uranium (U), Potassium (K), Thorium (Th), and standard gamma ray (GR). Red vertical line is TH0, the clean line for the Thorium curve, and the black vertical line is GR0, the clean line for the GR curve. Bakken 8 is top of sand and Bakken 1B is base of sand. ==&gt;</w:t>
      </w:r>
      <w:r w:rsidRPr="00FE3E2C">
        <w:rPr>
          <w:rFonts w:ascii="Arial" w:hAnsi="Arial" w:cs="Arial"/>
          <w:bCs/>
        </w:rPr>
        <w:t xml:space="preserve"> </w:t>
      </w:r>
    </w:p>
    <w:p w14:paraId="6DC58DE3" w14:textId="77777777" w:rsidR="00BB7EE0" w:rsidRPr="00FE3E2C" w:rsidRDefault="00BB7EE0" w:rsidP="00FE3E2C">
      <w:pPr>
        <w:pStyle w:val="NormalWeb"/>
        <w:spacing w:line="276" w:lineRule="auto"/>
      </w:pPr>
      <w:r w:rsidRPr="00FE3E2C">
        <w:rPr>
          <w:rFonts w:ascii="Arial" w:hAnsi="Arial" w:cs="Arial"/>
          <w:bCs/>
        </w:rPr>
        <w:t>The Thorium curve is best for shale volume calculations. The SP is flat and useless, Density neutron separation is mostly due to dolomite so it cannot be used. The gamma ray can be used in the absence of the Thorium curve by assuming Uranium content is constant.</w:t>
      </w:r>
      <w:r w:rsidRPr="00FE3E2C">
        <w:rPr>
          <w:rFonts w:ascii="Arial" w:hAnsi="Arial" w:cs="Arial"/>
          <w:bCs/>
        </w:rPr>
        <w:br/>
        <w:t xml:space="preserve">      1: </w:t>
      </w:r>
      <w:proofErr w:type="spellStart"/>
      <w:r w:rsidRPr="00FE3E2C">
        <w:rPr>
          <w:rFonts w:ascii="Arial" w:hAnsi="Arial" w:cs="Arial"/>
          <w:bCs/>
        </w:rPr>
        <w:t>VSHth</w:t>
      </w:r>
      <w:proofErr w:type="spellEnd"/>
      <w:r w:rsidRPr="00FE3E2C">
        <w:rPr>
          <w:rFonts w:ascii="Arial" w:hAnsi="Arial" w:cs="Arial"/>
          <w:bCs/>
        </w:rPr>
        <w:t xml:space="preserve"> = (TH - TH0) / (TH100 - TH0)</w:t>
      </w:r>
      <w:r w:rsidRPr="00FE3E2C">
        <w:rPr>
          <w:rFonts w:ascii="Arial" w:hAnsi="Arial" w:cs="Arial"/>
          <w:bCs/>
        </w:rPr>
        <w:br/>
        <w:t xml:space="preserve">      2: </w:t>
      </w:r>
      <w:proofErr w:type="spellStart"/>
      <w:r w:rsidRPr="00FE3E2C">
        <w:rPr>
          <w:rFonts w:ascii="Arial" w:hAnsi="Arial" w:cs="Arial"/>
          <w:bCs/>
        </w:rPr>
        <w:t>VSHgr</w:t>
      </w:r>
      <w:proofErr w:type="spellEnd"/>
      <w:r w:rsidRPr="00FE3E2C">
        <w:rPr>
          <w:rFonts w:ascii="Arial" w:hAnsi="Arial" w:cs="Arial"/>
          <w:bCs/>
        </w:rPr>
        <w:t xml:space="preserve"> = (GR - GR0) / (GR100 - GR0)</w:t>
      </w:r>
    </w:p>
    <w:p w14:paraId="4EE1276A" w14:textId="77777777" w:rsidR="00BB7EE0" w:rsidRPr="00FE3E2C" w:rsidRDefault="00BB7EE0" w:rsidP="00FE3E2C">
      <w:pPr>
        <w:pStyle w:val="NormalWeb"/>
        <w:spacing w:line="276" w:lineRule="auto"/>
      </w:pPr>
      <w:r w:rsidRPr="00FE3E2C">
        <w:rPr>
          <w:rFonts w:ascii="Arial" w:hAnsi="Arial" w:cs="Arial"/>
          <w:bCs/>
        </w:rPr>
        <w:lastRenderedPageBreak/>
        <w:t>The clean lines TH0 and GR0 are easy to pick (red and black lines on the illustration). Shale lines are harder as they are often off-scale to the right or buried under a plethora of backup curves. In the absence of a good pick from the log,  use:</w:t>
      </w:r>
      <w:r w:rsidRPr="00FE3E2C">
        <w:rPr>
          <w:rFonts w:ascii="Arial" w:hAnsi="Arial" w:cs="Arial"/>
          <w:bCs/>
        </w:rPr>
        <w:br/>
        <w:t>      3: TH100 = TH0 + 25</w:t>
      </w:r>
      <w:r w:rsidRPr="00FE3E2C">
        <w:rPr>
          <w:rFonts w:ascii="Arial" w:hAnsi="Arial" w:cs="Arial"/>
          <w:bCs/>
        </w:rPr>
        <w:br/>
        <w:t>      4: GR100 = GR0 + 150</w:t>
      </w:r>
    </w:p>
    <w:p w14:paraId="2EB1E15B" w14:textId="77777777" w:rsidR="00BB7EE0" w:rsidRPr="00FE3E2C" w:rsidRDefault="00BB7EE0" w:rsidP="00FE3E2C">
      <w:pPr>
        <w:pStyle w:val="NormalWeb"/>
        <w:spacing w:line="276" w:lineRule="auto"/>
        <w:rPr>
          <w:rFonts w:ascii="Arial" w:hAnsi="Arial" w:cs="Arial"/>
          <w:bCs/>
        </w:rPr>
      </w:pPr>
      <w:r w:rsidRPr="00FE3E2C">
        <w:rPr>
          <w:rFonts w:ascii="Arial" w:hAnsi="Arial" w:cs="Arial"/>
          <w:bCs/>
        </w:rPr>
        <w:t>Adjust the constants to suit your local knowledge.</w:t>
      </w:r>
      <w:r w:rsidRPr="00FE3E2C">
        <w:rPr>
          <w:rFonts w:ascii="Arial" w:hAnsi="Arial" w:cs="Arial"/>
          <w:bCs/>
        </w:rPr>
        <w:br/>
      </w:r>
      <w:r w:rsidRPr="00FE3E2C">
        <w:rPr>
          <w:rFonts w:ascii="Arial" w:hAnsi="Arial" w:cs="Arial"/>
          <w:bCs/>
        </w:rPr>
        <w:br/>
      </w:r>
    </w:p>
    <w:p w14:paraId="791F1D59" w14:textId="77777777" w:rsidR="00BB7EE0" w:rsidRPr="00FE3E2C" w:rsidRDefault="00BB7EE0" w:rsidP="00FE3E2C">
      <w:pPr>
        <w:pStyle w:val="NormalWeb"/>
        <w:spacing w:line="276" w:lineRule="auto"/>
      </w:pPr>
      <w:r w:rsidRPr="00EA5033">
        <w:rPr>
          <w:rStyle w:val="Strong"/>
          <w:rFonts w:ascii="Arial" w:hAnsi="Arial" w:cs="Arial"/>
          <w:caps/>
          <w:color w:val="000000"/>
        </w:rPr>
        <w:t>POROSITY CALCULATIONS</w:t>
      </w:r>
      <w:r w:rsidRPr="00EA5033">
        <w:rPr>
          <w:rFonts w:ascii="Arial" w:hAnsi="Arial" w:cs="Arial"/>
          <w:bCs/>
          <w:caps/>
          <w:color w:val="000000"/>
        </w:rPr>
        <w:br/>
      </w:r>
      <w:r w:rsidRPr="00FE3E2C">
        <w:rPr>
          <w:rFonts w:ascii="Arial" w:hAnsi="Arial" w:cs="Arial"/>
          <w:bCs/>
        </w:rPr>
        <w:t>Even though the Bakken is a complex mixture of quartz, dolomite, calcite, and sometimes pyrite, with a little clay, the standard density neutron complex lithology crossplot model works well:</w:t>
      </w:r>
      <w:r w:rsidRPr="00FE3E2C">
        <w:rPr>
          <w:rFonts w:ascii="Arial" w:hAnsi="Arial" w:cs="Arial"/>
          <w:bCs/>
        </w:rPr>
        <w:br/>
        <w:t xml:space="preserve">      5: </w:t>
      </w:r>
      <w:proofErr w:type="spellStart"/>
      <w:r w:rsidRPr="00FE3E2C">
        <w:rPr>
          <w:rFonts w:ascii="Arial" w:hAnsi="Arial" w:cs="Arial"/>
          <w:bCs/>
        </w:rPr>
        <w:t>PHIdc</w:t>
      </w:r>
      <w:proofErr w:type="spellEnd"/>
      <w:r w:rsidRPr="00FE3E2C">
        <w:rPr>
          <w:rFonts w:ascii="Arial" w:hAnsi="Arial" w:cs="Arial"/>
          <w:bCs/>
        </w:rPr>
        <w:t xml:space="preserve"> = PHID – (</w:t>
      </w:r>
      <w:proofErr w:type="spellStart"/>
      <w:r w:rsidRPr="00FE3E2C">
        <w:rPr>
          <w:rFonts w:ascii="Arial" w:hAnsi="Arial" w:cs="Arial"/>
          <w:bCs/>
        </w:rPr>
        <w:t>Vsh</w:t>
      </w:r>
      <w:proofErr w:type="spellEnd"/>
      <w:r w:rsidRPr="00FE3E2C">
        <w:rPr>
          <w:rFonts w:ascii="Arial" w:hAnsi="Arial" w:cs="Arial"/>
          <w:bCs/>
        </w:rPr>
        <w:t xml:space="preserve"> * PHIDSH)</w:t>
      </w:r>
      <w:r w:rsidRPr="00FE3E2C">
        <w:rPr>
          <w:rFonts w:ascii="Arial" w:hAnsi="Arial" w:cs="Arial"/>
          <w:bCs/>
        </w:rPr>
        <w:br/>
        <w:t xml:space="preserve">      6: </w:t>
      </w:r>
      <w:proofErr w:type="spellStart"/>
      <w:r w:rsidRPr="00FE3E2C">
        <w:rPr>
          <w:rFonts w:ascii="Arial" w:hAnsi="Arial" w:cs="Arial"/>
          <w:bCs/>
        </w:rPr>
        <w:t>PHInc</w:t>
      </w:r>
      <w:proofErr w:type="spellEnd"/>
      <w:r w:rsidRPr="00FE3E2C">
        <w:rPr>
          <w:rFonts w:ascii="Arial" w:hAnsi="Arial" w:cs="Arial"/>
          <w:bCs/>
        </w:rPr>
        <w:t xml:space="preserve"> = PHIN – (</w:t>
      </w:r>
      <w:proofErr w:type="spellStart"/>
      <w:r w:rsidRPr="00FE3E2C">
        <w:rPr>
          <w:rFonts w:ascii="Arial" w:hAnsi="Arial" w:cs="Arial"/>
          <w:bCs/>
        </w:rPr>
        <w:t>Vsh</w:t>
      </w:r>
      <w:proofErr w:type="spellEnd"/>
      <w:r w:rsidRPr="00FE3E2C">
        <w:rPr>
          <w:rFonts w:ascii="Arial" w:hAnsi="Arial" w:cs="Arial"/>
          <w:bCs/>
        </w:rPr>
        <w:t xml:space="preserve"> * PHINSH)</w:t>
      </w:r>
      <w:r w:rsidRPr="00FE3E2C">
        <w:rPr>
          <w:rFonts w:ascii="Arial" w:hAnsi="Arial" w:cs="Arial"/>
          <w:bCs/>
        </w:rPr>
        <w:br/>
        <w:t>      7: PHIe = (</w:t>
      </w:r>
      <w:proofErr w:type="spellStart"/>
      <w:r w:rsidRPr="00FE3E2C">
        <w:rPr>
          <w:rFonts w:ascii="Arial" w:hAnsi="Arial" w:cs="Arial"/>
          <w:bCs/>
        </w:rPr>
        <w:t>PHInc</w:t>
      </w:r>
      <w:proofErr w:type="spellEnd"/>
      <w:r w:rsidRPr="00FE3E2C">
        <w:rPr>
          <w:rFonts w:ascii="Arial" w:hAnsi="Arial" w:cs="Arial"/>
          <w:bCs/>
        </w:rPr>
        <w:t xml:space="preserve"> + </w:t>
      </w:r>
      <w:proofErr w:type="spellStart"/>
      <w:r w:rsidRPr="00FE3E2C">
        <w:rPr>
          <w:rFonts w:ascii="Arial" w:hAnsi="Arial" w:cs="Arial"/>
          <w:bCs/>
        </w:rPr>
        <w:t>PHIdc</w:t>
      </w:r>
      <w:proofErr w:type="spellEnd"/>
      <w:r w:rsidRPr="00FE3E2C">
        <w:rPr>
          <w:rFonts w:ascii="Arial" w:hAnsi="Arial" w:cs="Arial"/>
          <w:bCs/>
        </w:rPr>
        <w:t>) / 2</w:t>
      </w:r>
    </w:p>
    <w:p w14:paraId="39B5CF80" w14:textId="77777777" w:rsidR="00BB7EE0" w:rsidRPr="00FE3E2C" w:rsidRDefault="00BB7EE0" w:rsidP="00FE3E2C">
      <w:pPr>
        <w:pStyle w:val="NormalWeb"/>
        <w:spacing w:line="276" w:lineRule="auto"/>
      </w:pPr>
      <w:r w:rsidRPr="00FE3E2C">
        <w:rPr>
          <w:rFonts w:ascii="Arial" w:hAnsi="Arial" w:cs="Arial"/>
          <w:bCs/>
        </w:rPr>
        <w:t>For porosity values greater than 0.05 fractional, this is an adequate representation of the crossplot; some software packages will use more complicated math to fuss with that third decimal place.</w:t>
      </w:r>
    </w:p>
    <w:p w14:paraId="0EE63832" w14:textId="77777777" w:rsidR="00BB7EE0" w:rsidRPr="00FE3E2C" w:rsidRDefault="00BB7EE0" w:rsidP="00FE3E2C">
      <w:pPr>
        <w:pStyle w:val="NormalWeb"/>
        <w:spacing w:line="276" w:lineRule="auto"/>
      </w:pPr>
      <w:r w:rsidRPr="00FE3E2C">
        <w:rPr>
          <w:rFonts w:ascii="Arial" w:hAnsi="Arial" w:cs="Arial"/>
          <w:bCs/>
        </w:rPr>
        <w:t>Equation 7 is equivalent to Crain's Rule #1: "Porosity is halfway between the density and neutron curves in clean zones" regardless of mineralogy, provided logs are on compatible porosity scales.</w:t>
      </w:r>
    </w:p>
    <w:p w14:paraId="31068FB6" w14:textId="77777777" w:rsidR="00BB7EE0" w:rsidRPr="00FE3E2C" w:rsidRDefault="00BB7EE0" w:rsidP="00FE3E2C">
      <w:pPr>
        <w:pStyle w:val="NormalWeb"/>
        <w:spacing w:line="276" w:lineRule="auto"/>
      </w:pPr>
      <w:r w:rsidRPr="00EA5033">
        <w:rPr>
          <w:rStyle w:val="Strong"/>
          <w:rFonts w:ascii="Arial" w:hAnsi="Arial" w:cs="Arial"/>
          <w:caps/>
          <w:color w:val="000000"/>
        </w:rPr>
        <w:t>WATER SATURATION CALCULATIONS</w:t>
      </w:r>
      <w:r w:rsidRPr="00EA5033">
        <w:rPr>
          <w:rFonts w:ascii="Arial" w:hAnsi="Arial" w:cs="Arial"/>
          <w:bCs/>
          <w:caps/>
          <w:color w:val="000000"/>
        </w:rPr>
        <w:br/>
      </w:r>
      <w:r w:rsidRPr="00FE3E2C">
        <w:rPr>
          <w:rFonts w:ascii="Arial" w:hAnsi="Arial" w:cs="Arial"/>
          <w:bCs/>
        </w:rPr>
        <w:t>Since there is little clay, the Archie model can be used, although it costs nothing extra to use a shale corrected saturation equation such as Simandoux or Dual Water. Electrical properties variations between facies and with depth or diagenesis are not published. This lab work is worth the effort, as considerable increases in oil in place are possible with small reductions in M and N values. Fresh water recharge in the north can confuse log analysis results, so a production test is essential before drilling any horizontal wells.</w:t>
      </w:r>
    </w:p>
    <w:p w14:paraId="63C3FFC6" w14:textId="536BBEA2" w:rsidR="00BB7EE0" w:rsidRPr="00FE3E2C" w:rsidRDefault="00BB7EE0" w:rsidP="00FE3E2C">
      <w:pPr>
        <w:pStyle w:val="NormalWeb"/>
        <w:spacing w:line="276" w:lineRule="auto"/>
      </w:pPr>
      <w:r w:rsidRPr="00EA5033">
        <w:rPr>
          <w:rStyle w:val="Strong"/>
          <w:rFonts w:ascii="Arial" w:hAnsi="Arial" w:cs="Arial"/>
          <w:caps/>
          <w:color w:val="000000"/>
        </w:rPr>
        <w:t>PERMEABILITY CALCULATIONS</w:t>
      </w:r>
      <w:r w:rsidRPr="00EA5033">
        <w:rPr>
          <w:rFonts w:ascii="Arial" w:hAnsi="Arial" w:cs="Arial"/>
          <w:bCs/>
          <w:color w:val="000000"/>
        </w:rPr>
        <w:br/>
      </w:r>
      <w:r w:rsidR="00F65D64">
        <w:rPr>
          <w:rFonts w:ascii="Arial" w:hAnsi="Arial" w:cs="Arial"/>
          <w:bCs/>
        </w:rPr>
        <w:t>No</w:t>
      </w:r>
      <w:r w:rsidRPr="00FE3E2C">
        <w:rPr>
          <w:rFonts w:ascii="Arial" w:hAnsi="Arial" w:cs="Arial"/>
          <w:bCs/>
        </w:rPr>
        <w:t xml:space="preserve"> strong correlation between porosity and permeability has been seen. The illustrations below show the scatter is large. The Wyllie Rose equation gives rational values and can be tuned to fit smoothed core data:</w:t>
      </w:r>
      <w:r w:rsidRPr="00FE3E2C">
        <w:rPr>
          <w:rFonts w:ascii="Arial" w:hAnsi="Arial" w:cs="Arial"/>
          <w:bCs/>
        </w:rPr>
        <w:br/>
        <w:t xml:space="preserve">      8: </w:t>
      </w:r>
      <w:proofErr w:type="spellStart"/>
      <w:r w:rsidRPr="00FE3E2C">
        <w:rPr>
          <w:rFonts w:ascii="Arial" w:hAnsi="Arial" w:cs="Arial"/>
          <w:bCs/>
        </w:rPr>
        <w:t>Kmax</w:t>
      </w:r>
      <w:proofErr w:type="spellEnd"/>
      <w:r w:rsidRPr="00FE3E2C">
        <w:rPr>
          <w:rFonts w:ascii="Arial" w:hAnsi="Arial" w:cs="Arial"/>
          <w:bCs/>
        </w:rPr>
        <w:t xml:space="preserve"> = 100 000 * (PHIe^6) / (SWir^2)</w:t>
      </w:r>
    </w:p>
    <w:p w14:paraId="713833C8" w14:textId="77777777" w:rsidR="00BB7EE0" w:rsidRPr="00FE3E2C" w:rsidRDefault="00A51316" w:rsidP="00FE3E2C">
      <w:pPr>
        <w:pStyle w:val="NormalWeb"/>
        <w:spacing w:line="276" w:lineRule="auto"/>
        <w:jc w:val="center"/>
        <w:rPr>
          <w:rFonts w:ascii="Arial" w:hAnsi="Arial" w:cs="Arial"/>
          <w:bCs/>
        </w:rPr>
      </w:pPr>
      <w:r w:rsidRPr="00FE3E2C">
        <w:rPr>
          <w:noProof/>
          <w:lang w:val="en-CA" w:eastAsia="en-CA"/>
        </w:rPr>
        <w:lastRenderedPageBreak/>
        <w:drawing>
          <wp:inline distT="0" distB="0" distL="0" distR="0" wp14:anchorId="56F76A8D" wp14:editId="6CBF82FB">
            <wp:extent cx="3235960" cy="3424555"/>
            <wp:effectExtent l="0" t="0" r="2540" b="4445"/>
            <wp:docPr id="4" name="Picture 4" descr="perm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m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5960" cy="3424555"/>
                    </a:xfrm>
                    <a:prstGeom prst="rect">
                      <a:avLst/>
                    </a:prstGeom>
                    <a:noFill/>
                    <a:ln>
                      <a:noFill/>
                    </a:ln>
                  </pic:spPr>
                </pic:pic>
              </a:graphicData>
            </a:graphic>
          </wp:inline>
        </w:drawing>
      </w:r>
      <w:r w:rsidRPr="00FE3E2C">
        <w:rPr>
          <w:noProof/>
          <w:lang w:val="en-CA" w:eastAsia="en-CA"/>
        </w:rPr>
        <w:drawing>
          <wp:inline distT="0" distB="0" distL="0" distR="0" wp14:anchorId="0A10B645" wp14:editId="3E2D3BE0">
            <wp:extent cx="2169160" cy="3343910"/>
            <wp:effectExtent l="38100" t="38100" r="40640" b="46990"/>
            <wp:docPr id="5" name="Picture 5" descr="perm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mS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9160" cy="3343910"/>
                    </a:xfrm>
                    <a:prstGeom prst="rect">
                      <a:avLst/>
                    </a:prstGeom>
                    <a:noFill/>
                    <a:ln w="28575" cmpd="sng">
                      <a:solidFill>
                        <a:srgbClr val="000000"/>
                      </a:solidFill>
                      <a:miter lim="800000"/>
                      <a:headEnd/>
                      <a:tailEnd/>
                    </a:ln>
                    <a:effectLst/>
                  </pic:spPr>
                </pic:pic>
              </a:graphicData>
            </a:graphic>
          </wp:inline>
        </w:drawing>
      </w:r>
      <w:r w:rsidR="00BB7EE0" w:rsidRPr="00FE3E2C">
        <w:br/>
      </w:r>
      <w:r w:rsidR="00BB7EE0" w:rsidRPr="00FE3E2C">
        <w:rPr>
          <w:rFonts w:ascii="Arial" w:hAnsi="Arial" w:cs="Arial"/>
          <w:bCs/>
          <w:i/>
          <w:iCs/>
        </w:rPr>
        <w:t xml:space="preserve">Figures 5 and 6: </w:t>
      </w:r>
      <w:r w:rsidR="00BB7EE0" w:rsidRPr="00FE3E2C">
        <w:rPr>
          <w:rFonts w:ascii="Arial" w:hAnsi="Arial" w:cs="Arial"/>
          <w:bCs/>
        </w:rPr>
        <w:t xml:space="preserve">Permeability versus porosity scatter plots for North Dakota well (left) and Saskatchewan well (right). The scatter suggests microfractures. </w:t>
      </w:r>
    </w:p>
    <w:p w14:paraId="14276C3B" w14:textId="77777777" w:rsidR="00BB7EE0" w:rsidRPr="00FE3E2C" w:rsidRDefault="00BB7EE0" w:rsidP="00FE3E2C">
      <w:pPr>
        <w:pStyle w:val="NormalWeb"/>
        <w:tabs>
          <w:tab w:val="left" w:pos="7765"/>
        </w:tabs>
        <w:spacing w:line="276" w:lineRule="auto"/>
      </w:pPr>
      <w:r w:rsidRPr="00F65D64">
        <w:rPr>
          <w:rStyle w:val="Strong"/>
          <w:rFonts w:ascii="Arial" w:hAnsi="Arial" w:cs="Arial"/>
          <w:bCs w:val="0"/>
          <w:caps/>
          <w:color w:val="000000"/>
        </w:rPr>
        <w:t>Lithology CALCULATIONS</w:t>
      </w:r>
      <w:r w:rsidRPr="00FE3E2C">
        <w:rPr>
          <w:rStyle w:val="Strong"/>
          <w:rFonts w:ascii="Arial" w:hAnsi="Arial" w:cs="Arial"/>
          <w:b w:val="0"/>
          <w:caps/>
          <w:color w:val="000000"/>
        </w:rPr>
        <w:tab/>
      </w:r>
      <w:r w:rsidRPr="00FE3E2C">
        <w:rPr>
          <w:rFonts w:ascii="Arial" w:hAnsi="Arial" w:cs="Arial"/>
          <w:bCs/>
          <w:color w:val="000000"/>
        </w:rPr>
        <w:br/>
      </w:r>
      <w:r w:rsidR="00A51316" w:rsidRPr="00FE3E2C">
        <w:rPr>
          <w:noProof/>
          <w:lang w:val="en-CA" w:eastAsia="en-CA"/>
        </w:rPr>
        <w:drawing>
          <wp:anchor distT="0" distB="0" distL="0" distR="144145" simplePos="0" relativeHeight="251658240" behindDoc="0" locked="0" layoutInCell="1" allowOverlap="0" wp14:anchorId="685ECCCD" wp14:editId="5072569A">
            <wp:simplePos x="0" y="0"/>
            <wp:positionH relativeFrom="column">
              <wp:posOffset>4332605</wp:posOffset>
            </wp:positionH>
            <wp:positionV relativeFrom="line">
              <wp:posOffset>38100</wp:posOffset>
            </wp:positionV>
            <wp:extent cx="2418715" cy="1706245"/>
            <wp:effectExtent l="38100" t="38100" r="38735" b="46355"/>
            <wp:wrapSquare wrapText="bothSides"/>
            <wp:docPr id="48" name="Picture 48" descr="bakn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knm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8715" cy="1706245"/>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E3E2C">
        <w:rPr>
          <w:rFonts w:ascii="Arial" w:hAnsi="Arial" w:cs="Arial"/>
          <w:bCs/>
        </w:rPr>
        <w:t>How do we know which minerals to use in the petrophysical log analysis? Detailed sample descriptions are a good start. Both X-Ray diffraction data and thin section point counts can be used. Both methods are considered semi-quantitative and come from tiny samples compared to the volume measured by logs. So we don't get too excited about obtaining a close numerical match.</w:t>
      </w:r>
    </w:p>
    <w:p w14:paraId="476FCE8D" w14:textId="77777777" w:rsidR="00BB7EE0" w:rsidRPr="00FE3E2C" w:rsidRDefault="00BB7EE0" w:rsidP="00FE3E2C">
      <w:pPr>
        <w:pStyle w:val="NormalWeb"/>
        <w:spacing w:line="276" w:lineRule="auto"/>
        <w:jc w:val="right"/>
      </w:pPr>
      <w:r w:rsidRPr="00FE3E2C">
        <w:rPr>
          <w:rFonts w:ascii="Arial" w:hAnsi="Arial" w:cs="Arial"/>
          <w:bCs/>
          <w:i/>
          <w:iCs/>
        </w:rPr>
        <w:t xml:space="preserve">Figure 7: Mineral and core analysis summary for a Bakken reservoir </w:t>
      </w:r>
      <w:r w:rsidRPr="00FE3E2C">
        <w:rPr>
          <w:rFonts w:ascii="Arial" w:hAnsi="Arial" w:cs="Arial"/>
          <w:bCs/>
          <w:i/>
          <w:iCs/>
        </w:rPr>
        <w:sym w:font="Wingdings" w:char="F0E8"/>
      </w:r>
      <w:r w:rsidRPr="00FE3E2C">
        <w:rPr>
          <w:rFonts w:ascii="Arial" w:hAnsi="Arial" w:cs="Arial"/>
          <w:bCs/>
          <w:i/>
          <w:iCs/>
        </w:rPr>
        <w:t xml:space="preserve">  </w:t>
      </w:r>
    </w:p>
    <w:p w14:paraId="2753DD21" w14:textId="77777777" w:rsidR="00BB7EE0" w:rsidRPr="00FE3E2C" w:rsidRDefault="00BB7EE0" w:rsidP="00FE3E2C">
      <w:pPr>
        <w:pStyle w:val="NormalWeb"/>
        <w:spacing w:line="276" w:lineRule="auto"/>
      </w:pPr>
      <w:r w:rsidRPr="00FE3E2C">
        <w:rPr>
          <w:rFonts w:ascii="Arial" w:hAnsi="Arial" w:cs="Arial"/>
          <w:bCs/>
        </w:rPr>
        <w:t xml:space="preserve">Standard 3-mineral models using PE, density, and neutron data are used with appropriate parameters for the selected minerals. Multi-mineral solvers can be used if spectral gamma ray data is available. In this case, shale volume would be derived also. </w:t>
      </w:r>
    </w:p>
    <w:p w14:paraId="5756EFA9" w14:textId="77777777" w:rsidR="00BB7EE0" w:rsidRPr="00FE3E2C" w:rsidRDefault="00BB7EE0" w:rsidP="00FE3E2C">
      <w:pPr>
        <w:pStyle w:val="NormalWeb"/>
        <w:spacing w:line="276" w:lineRule="auto"/>
      </w:pPr>
      <w:r w:rsidRPr="00EA5033">
        <w:rPr>
          <w:rStyle w:val="Strong"/>
          <w:rFonts w:ascii="Arial" w:hAnsi="Arial" w:cs="Arial"/>
          <w:caps/>
          <w:color w:val="000000"/>
        </w:rPr>
        <w:t>PYRITE CORRECTIONS</w:t>
      </w:r>
      <w:r w:rsidRPr="00EA5033">
        <w:rPr>
          <w:rFonts w:ascii="Arial" w:hAnsi="Arial" w:cs="Arial"/>
          <w:bCs/>
          <w:color w:val="000000"/>
        </w:rPr>
        <w:br/>
      </w:r>
      <w:r w:rsidRPr="00FE3E2C">
        <w:rPr>
          <w:rStyle w:val="Strong"/>
          <w:rFonts w:ascii="Arial" w:hAnsi="Arial" w:cs="Arial"/>
          <w:b w:val="0"/>
        </w:rPr>
        <w:t>Pyrite is a conductive metallic mineral that may occur in many different sedimentary rocks. It can reduce measured resistivity, thus increasing apparent water saturation. The conductive metallic current path is in parallel with the ionic water conductive path. As a result, a correction to the measured resistivity can be made by solving the parallel resistivity circuit.</w:t>
      </w:r>
    </w:p>
    <w:p w14:paraId="3D351AD5" w14:textId="77777777" w:rsidR="00BB7EE0" w:rsidRPr="00FE3E2C" w:rsidRDefault="00BB7EE0" w:rsidP="00FE3E2C">
      <w:pPr>
        <w:pStyle w:val="NormalWeb"/>
        <w:spacing w:line="276" w:lineRule="auto"/>
      </w:pPr>
      <w:r w:rsidRPr="00FE3E2C">
        <w:rPr>
          <w:rStyle w:val="Strong"/>
          <w:rFonts w:ascii="Arial" w:hAnsi="Arial" w:cs="Arial"/>
          <w:b w:val="0"/>
        </w:rPr>
        <w:t xml:space="preserve">Although the math is simple, the parameters needed are not well known. The two critical elements are the volume of pyrite and the effective resistivity of pyrite. Pyrite volume can be </w:t>
      </w:r>
      <w:r w:rsidRPr="00FE3E2C">
        <w:rPr>
          <w:rStyle w:val="Strong"/>
          <w:rFonts w:ascii="Arial" w:hAnsi="Arial" w:cs="Arial"/>
          <w:b w:val="0"/>
        </w:rPr>
        <w:lastRenderedPageBreak/>
        <w:t>found from a two or three mineral model, calibrated by thin section point counts or X-ray diffraction data.</w:t>
      </w:r>
    </w:p>
    <w:p w14:paraId="3953418F" w14:textId="77777777" w:rsidR="00BB7EE0" w:rsidRPr="00FE3E2C" w:rsidRDefault="00BB7EE0" w:rsidP="00FE3E2C">
      <w:pPr>
        <w:pStyle w:val="NormalWeb"/>
        <w:spacing w:line="276" w:lineRule="auto"/>
      </w:pPr>
      <w:r w:rsidRPr="00FE3E2C">
        <w:rPr>
          <w:rStyle w:val="Strong"/>
          <w:rFonts w:ascii="Arial" w:hAnsi="Arial" w:cs="Arial"/>
          <w:b w:val="0"/>
        </w:rPr>
        <w:t xml:space="preserve">The resistivity of pyrite varies with the frequency of the logging tool measurement system. Laterologs measure resistivity at less than 100 Hz, induction logs at 20 </w:t>
      </w:r>
      <w:proofErr w:type="spellStart"/>
      <w:r w:rsidRPr="00FE3E2C">
        <w:rPr>
          <w:rStyle w:val="Strong"/>
          <w:rFonts w:ascii="Arial" w:hAnsi="Arial" w:cs="Arial"/>
          <w:b w:val="0"/>
        </w:rPr>
        <w:t>KHz</w:t>
      </w:r>
      <w:proofErr w:type="spellEnd"/>
      <w:r w:rsidRPr="00FE3E2C">
        <w:rPr>
          <w:rStyle w:val="Strong"/>
          <w:rFonts w:ascii="Arial" w:hAnsi="Arial" w:cs="Arial"/>
          <w:b w:val="0"/>
        </w:rPr>
        <w:t xml:space="preserve">, and LWD tools at 2 </w:t>
      </w:r>
      <w:proofErr w:type="spellStart"/>
      <w:r w:rsidRPr="00FE3E2C">
        <w:rPr>
          <w:rStyle w:val="Strong"/>
          <w:rFonts w:ascii="Arial" w:hAnsi="Arial" w:cs="Arial"/>
          <w:b w:val="0"/>
        </w:rPr>
        <w:t>MHz.</w:t>
      </w:r>
      <w:proofErr w:type="spellEnd"/>
      <w:r w:rsidRPr="00FE3E2C">
        <w:rPr>
          <w:rStyle w:val="Strong"/>
          <w:rFonts w:ascii="Arial" w:hAnsi="Arial" w:cs="Arial"/>
          <w:b w:val="0"/>
        </w:rPr>
        <w:t xml:space="preserve"> Higher frequency tools record lower resistivity than low frequency tools for the same concentration of pyrite. The variation in resistivity is caused by the fact that pyrite is a semiconductor, not a metallic conductor. It is nature's original transistor, and formed the main sensing component in early radios.</w:t>
      </w:r>
    </w:p>
    <w:p w14:paraId="4A06DF2B" w14:textId="77777777" w:rsidR="00BB7EE0" w:rsidRPr="00FE3E2C" w:rsidRDefault="00BB7EE0" w:rsidP="00FE3E2C">
      <w:pPr>
        <w:pStyle w:val="NormalWeb"/>
        <w:spacing w:line="276" w:lineRule="auto"/>
      </w:pPr>
      <w:r w:rsidRPr="00FE3E2C">
        <w:rPr>
          <w:rStyle w:val="Strong"/>
          <w:rFonts w:ascii="Arial" w:hAnsi="Arial" w:cs="Arial"/>
          <w:b w:val="0"/>
        </w:rPr>
        <w:t>Typical resistivity of pyrite is in the range of 0.1 to 1.0 ohm-m; 0.5 ohm-m seems to work reasonably well. The effect of pyrite is most noticeable when RW is moderately high and less noticeable when RW is very low.</w:t>
      </w:r>
    </w:p>
    <w:p w14:paraId="04AC54C2" w14:textId="77777777" w:rsidR="00BB7EE0" w:rsidRPr="00FE3E2C" w:rsidRDefault="00BB7EE0" w:rsidP="00FE3E2C">
      <w:pPr>
        <w:pStyle w:val="NormalWeb"/>
        <w:spacing w:line="276" w:lineRule="auto"/>
      </w:pPr>
      <w:r w:rsidRPr="00FE3E2C">
        <w:rPr>
          <w:rStyle w:val="Strong"/>
          <w:rFonts w:ascii="Arial" w:hAnsi="Arial" w:cs="Arial"/>
          <w:b w:val="0"/>
        </w:rPr>
        <w:t>The math is easiest when conductivity is used instead of resistivity:</w:t>
      </w:r>
      <w:r w:rsidRPr="00FE3E2C">
        <w:rPr>
          <w:rFonts w:ascii="Arial" w:hAnsi="Arial" w:cs="Arial"/>
          <w:bCs/>
        </w:rPr>
        <w:t xml:space="preserve"> </w:t>
      </w:r>
      <w:r w:rsidRPr="00FE3E2C">
        <w:rPr>
          <w:rFonts w:ascii="Arial" w:hAnsi="Arial" w:cs="Arial"/>
          <w:bCs/>
        </w:rPr>
        <w:br/>
        <w:t xml:space="preserve">     10: </w:t>
      </w:r>
      <w:proofErr w:type="spellStart"/>
      <w:r w:rsidRPr="00FE3E2C">
        <w:rPr>
          <w:rFonts w:ascii="Arial" w:hAnsi="Arial" w:cs="Arial"/>
          <w:bCs/>
        </w:rPr>
        <w:t>CONDpyr</w:t>
      </w:r>
      <w:proofErr w:type="spellEnd"/>
      <w:r w:rsidRPr="00FE3E2C">
        <w:rPr>
          <w:rFonts w:ascii="Arial" w:hAnsi="Arial" w:cs="Arial"/>
          <w:bCs/>
        </w:rPr>
        <w:t xml:space="preserve"> = 1000 / </w:t>
      </w:r>
      <w:proofErr w:type="spellStart"/>
      <w:r w:rsidRPr="00FE3E2C">
        <w:rPr>
          <w:rFonts w:ascii="Arial" w:hAnsi="Arial" w:cs="Arial"/>
          <w:bCs/>
        </w:rPr>
        <w:t>RESpyr</w:t>
      </w:r>
      <w:proofErr w:type="spellEnd"/>
      <w:r w:rsidRPr="00FE3E2C">
        <w:rPr>
          <w:rFonts w:ascii="Arial" w:hAnsi="Arial" w:cs="Arial"/>
          <w:bCs/>
        </w:rPr>
        <w:t xml:space="preserve">     </w:t>
      </w:r>
      <w:r w:rsidRPr="00FE3E2C">
        <w:rPr>
          <w:rFonts w:ascii="Arial" w:hAnsi="Arial" w:cs="Arial"/>
          <w:bCs/>
        </w:rPr>
        <w:br/>
        <w:t xml:space="preserve">     11: </w:t>
      </w:r>
      <w:proofErr w:type="spellStart"/>
      <w:r w:rsidRPr="00FE3E2C">
        <w:rPr>
          <w:rFonts w:ascii="Arial" w:hAnsi="Arial" w:cs="Arial"/>
          <w:bCs/>
        </w:rPr>
        <w:t>CONDcorr</w:t>
      </w:r>
      <w:proofErr w:type="spellEnd"/>
      <w:r w:rsidRPr="00FE3E2C">
        <w:rPr>
          <w:rFonts w:ascii="Arial" w:hAnsi="Arial" w:cs="Arial"/>
          <w:bCs/>
        </w:rPr>
        <w:t xml:space="preserve"> = 1000 / RESD - </w:t>
      </w:r>
      <w:proofErr w:type="spellStart"/>
      <w:r w:rsidRPr="00FE3E2C">
        <w:rPr>
          <w:rFonts w:ascii="Arial" w:hAnsi="Arial" w:cs="Arial"/>
          <w:bCs/>
        </w:rPr>
        <w:t>CONDpyr</w:t>
      </w:r>
      <w:proofErr w:type="spellEnd"/>
      <w:r w:rsidRPr="00FE3E2C">
        <w:rPr>
          <w:rFonts w:ascii="Arial" w:hAnsi="Arial" w:cs="Arial"/>
          <w:bCs/>
        </w:rPr>
        <w:t xml:space="preserve"> * </w:t>
      </w:r>
      <w:proofErr w:type="spellStart"/>
      <w:r w:rsidRPr="00FE3E2C">
        <w:rPr>
          <w:rFonts w:ascii="Arial" w:hAnsi="Arial" w:cs="Arial"/>
          <w:bCs/>
        </w:rPr>
        <w:t>Vpyr</w:t>
      </w:r>
      <w:proofErr w:type="spellEnd"/>
      <w:r w:rsidRPr="00FE3E2C">
        <w:rPr>
          <w:rFonts w:ascii="Arial" w:hAnsi="Arial" w:cs="Arial"/>
          <w:bCs/>
        </w:rPr>
        <w:br/>
        <w:t xml:space="preserve">     12: </w:t>
      </w:r>
      <w:proofErr w:type="spellStart"/>
      <w:r w:rsidRPr="00FE3E2C">
        <w:rPr>
          <w:rFonts w:ascii="Arial" w:hAnsi="Arial" w:cs="Arial"/>
          <w:bCs/>
        </w:rPr>
        <w:t>RESDcorr</w:t>
      </w:r>
      <w:proofErr w:type="spellEnd"/>
      <w:r w:rsidRPr="00FE3E2C">
        <w:rPr>
          <w:rFonts w:ascii="Arial" w:hAnsi="Arial" w:cs="Arial"/>
          <w:bCs/>
        </w:rPr>
        <w:t xml:space="preserve"> = 1000 / </w:t>
      </w:r>
      <w:proofErr w:type="spellStart"/>
      <w:r w:rsidRPr="00FE3E2C">
        <w:rPr>
          <w:rFonts w:ascii="Arial" w:hAnsi="Arial" w:cs="Arial"/>
          <w:bCs/>
        </w:rPr>
        <w:t>CONDcorr</w:t>
      </w:r>
      <w:proofErr w:type="spellEnd"/>
    </w:p>
    <w:p w14:paraId="623C4BAD" w14:textId="77777777" w:rsidR="00823E5D" w:rsidRPr="00FE3E2C" w:rsidRDefault="00BB7EE0" w:rsidP="00FE3E2C">
      <w:pPr>
        <w:pStyle w:val="NormalWeb"/>
        <w:spacing w:line="276" w:lineRule="auto"/>
      </w:pPr>
      <w:r w:rsidRPr="00FE3E2C">
        <w:rPr>
          <w:rFonts w:ascii="Arial" w:hAnsi="Arial" w:cs="Arial"/>
          <w:bCs/>
        </w:rPr>
        <w:t xml:space="preserve">The corrected resistivity can be plotted versus depth, along  with the original log. Corrected water saturation will always be lower or equal to the original Sw. If </w:t>
      </w:r>
      <w:proofErr w:type="spellStart"/>
      <w:r w:rsidRPr="00FE3E2C">
        <w:rPr>
          <w:rFonts w:ascii="Arial" w:hAnsi="Arial" w:cs="Arial"/>
          <w:bCs/>
        </w:rPr>
        <w:t>CONDcorr</w:t>
      </w:r>
      <w:proofErr w:type="spellEnd"/>
      <w:r w:rsidRPr="00FE3E2C">
        <w:rPr>
          <w:rFonts w:ascii="Arial" w:hAnsi="Arial" w:cs="Arial"/>
          <w:bCs/>
        </w:rPr>
        <w:t xml:space="preserve"> goes negative, lower </w:t>
      </w:r>
      <w:proofErr w:type="spellStart"/>
      <w:r w:rsidRPr="00FE3E2C">
        <w:rPr>
          <w:rFonts w:ascii="Arial" w:hAnsi="Arial" w:cs="Arial"/>
          <w:bCs/>
        </w:rPr>
        <w:t>Vpyr</w:t>
      </w:r>
      <w:proofErr w:type="spellEnd"/>
      <w:r w:rsidRPr="00FE3E2C">
        <w:rPr>
          <w:rFonts w:ascii="Arial" w:hAnsi="Arial" w:cs="Arial"/>
          <w:bCs/>
        </w:rPr>
        <w:t xml:space="preserve"> or raise </w:t>
      </w:r>
      <w:proofErr w:type="spellStart"/>
      <w:r w:rsidRPr="00FE3E2C">
        <w:rPr>
          <w:rFonts w:ascii="Arial" w:hAnsi="Arial" w:cs="Arial"/>
          <w:bCs/>
        </w:rPr>
        <w:t>RESpyr</w:t>
      </w:r>
      <w:proofErr w:type="spellEnd"/>
      <w:r w:rsidR="00337166" w:rsidRPr="00FE3E2C">
        <w:rPr>
          <w:rFonts w:ascii="Arial" w:hAnsi="Arial" w:cs="Arial"/>
          <w:bCs/>
        </w:rPr>
        <w:t>.</w:t>
      </w:r>
      <w:r w:rsidR="00337166" w:rsidRPr="00FE3E2C">
        <w:rPr>
          <w:rFonts w:ascii="Arial" w:hAnsi="Arial" w:cs="Arial"/>
          <w:bCs/>
        </w:rPr>
        <w:br/>
      </w:r>
      <w:r w:rsidR="00337166" w:rsidRPr="00FE3E2C">
        <w:rPr>
          <w:rFonts w:ascii="Arial" w:hAnsi="Arial" w:cs="Arial"/>
          <w:bCs/>
        </w:rPr>
        <w:br/>
      </w:r>
      <w:r w:rsidR="00823E5D" w:rsidRPr="00FE3E2C">
        <w:br/>
      </w:r>
      <w:bookmarkStart w:id="2" w:name="b803a"/>
      <w:bookmarkEnd w:id="2"/>
      <w:r w:rsidR="00823E5D" w:rsidRPr="00EA5033">
        <w:rPr>
          <w:rStyle w:val="Strong"/>
          <w:rFonts w:ascii="Arial" w:hAnsi="Arial" w:cs="Arial"/>
          <w:caps/>
          <w:color w:val="000000"/>
        </w:rPr>
        <w:t>RESERVOIR QUALITY FROM CAP PRESSURE</w:t>
      </w:r>
      <w:r w:rsidR="00823E5D" w:rsidRPr="00EA5033">
        <w:rPr>
          <w:rFonts w:ascii="Arial" w:hAnsi="Arial" w:cs="Arial"/>
          <w:bCs/>
          <w:i/>
          <w:iCs/>
          <w:color w:val="000000"/>
        </w:rPr>
        <w:br/>
      </w:r>
      <w:r w:rsidR="00823E5D" w:rsidRPr="00FE3E2C">
        <w:rPr>
          <w:rFonts w:ascii="Arial" w:hAnsi="Arial" w:cs="Arial"/>
          <w:bCs/>
        </w:rPr>
        <w:t>A capillary pressure (Pc) data set, along with some calculated parameters, is summarized in the table below.</w:t>
      </w:r>
    </w:p>
    <w:tbl>
      <w:tblPr>
        <w:tblW w:w="0" w:type="auto"/>
        <w:jc w:val="center"/>
        <w:tblCellSpacing w:w="15" w:type="dxa"/>
        <w:tblBorders>
          <w:top w:val="single" w:sz="18" w:space="0" w:color="000000"/>
          <w:left w:val="single" w:sz="18" w:space="0" w:color="000000"/>
          <w:bottom w:val="single" w:sz="18" w:space="0" w:color="000000"/>
          <w:right w:val="single" w:sz="18" w:space="0" w:color="000000"/>
        </w:tblBorders>
        <w:tblCellMar>
          <w:top w:w="30" w:type="dxa"/>
          <w:left w:w="30" w:type="dxa"/>
          <w:bottom w:w="30" w:type="dxa"/>
          <w:right w:w="30" w:type="dxa"/>
        </w:tblCellMar>
        <w:tblLook w:val="0000" w:firstRow="0" w:lastRow="0" w:firstColumn="0" w:lastColumn="0" w:noHBand="0" w:noVBand="0"/>
      </w:tblPr>
      <w:tblGrid>
        <w:gridCol w:w="1044"/>
        <w:gridCol w:w="731"/>
        <w:gridCol w:w="664"/>
        <w:gridCol w:w="691"/>
        <w:gridCol w:w="691"/>
        <w:gridCol w:w="691"/>
        <w:gridCol w:w="971"/>
        <w:gridCol w:w="971"/>
        <w:gridCol w:w="1171"/>
        <w:gridCol w:w="1418"/>
      </w:tblGrid>
      <w:tr w:rsidR="00823E5D" w:rsidRPr="00FE3E2C" w14:paraId="532344F0" w14:textId="77777777">
        <w:trPr>
          <w:trHeight w:val="310"/>
          <w:tblCellSpacing w:w="15" w:type="dxa"/>
          <w:jc w:val="center"/>
        </w:trPr>
        <w:tc>
          <w:tcPr>
            <w:tcW w:w="0" w:type="auto"/>
            <w:gridSpan w:val="10"/>
            <w:shd w:val="clear" w:color="auto" w:fill="0000FF"/>
            <w:tcMar>
              <w:top w:w="0" w:type="dxa"/>
              <w:left w:w="30" w:type="dxa"/>
              <w:bottom w:w="0" w:type="dxa"/>
              <w:right w:w="30" w:type="dxa"/>
            </w:tcMar>
          </w:tcPr>
          <w:p w14:paraId="3E300457"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FFFFFF"/>
              </w:rPr>
              <w:t>CAPILLARY PRESSURE SUMMARY</w:t>
            </w:r>
          </w:p>
        </w:tc>
      </w:tr>
      <w:tr w:rsidR="00823E5D" w:rsidRPr="00FE3E2C" w14:paraId="0D199777" w14:textId="77777777">
        <w:trPr>
          <w:trHeight w:val="283"/>
          <w:tblCellSpacing w:w="15" w:type="dxa"/>
          <w:jc w:val="center"/>
        </w:trPr>
        <w:tc>
          <w:tcPr>
            <w:tcW w:w="0" w:type="auto"/>
            <w:shd w:val="clear" w:color="auto" w:fill="0000FF"/>
            <w:tcMar>
              <w:top w:w="0" w:type="dxa"/>
              <w:left w:w="30" w:type="dxa"/>
              <w:bottom w:w="0" w:type="dxa"/>
              <w:right w:w="30" w:type="dxa"/>
            </w:tcMar>
          </w:tcPr>
          <w:p w14:paraId="0B188208"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FFFFFF"/>
              </w:rPr>
              <w:t>Sample</w:t>
            </w:r>
          </w:p>
        </w:tc>
        <w:tc>
          <w:tcPr>
            <w:tcW w:w="0" w:type="auto"/>
            <w:shd w:val="clear" w:color="auto" w:fill="0000FF"/>
            <w:tcMar>
              <w:top w:w="0" w:type="dxa"/>
              <w:left w:w="30" w:type="dxa"/>
              <w:bottom w:w="0" w:type="dxa"/>
              <w:right w:w="30" w:type="dxa"/>
            </w:tcMar>
          </w:tcPr>
          <w:p w14:paraId="46413463"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FFFFFF"/>
              </w:rPr>
              <w:t>Depth</w:t>
            </w:r>
          </w:p>
        </w:tc>
        <w:tc>
          <w:tcPr>
            <w:tcW w:w="0" w:type="auto"/>
            <w:shd w:val="clear" w:color="auto" w:fill="0000FF"/>
            <w:tcMar>
              <w:top w:w="0" w:type="dxa"/>
              <w:left w:w="30" w:type="dxa"/>
              <w:bottom w:w="0" w:type="dxa"/>
              <w:right w:w="30" w:type="dxa"/>
            </w:tcMar>
          </w:tcPr>
          <w:p w14:paraId="4E839EBE"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FFFFFF"/>
              </w:rPr>
              <w:t>Perm</w:t>
            </w:r>
          </w:p>
        </w:tc>
        <w:tc>
          <w:tcPr>
            <w:tcW w:w="0" w:type="auto"/>
            <w:shd w:val="clear" w:color="auto" w:fill="0000FF"/>
            <w:tcMar>
              <w:top w:w="0" w:type="dxa"/>
              <w:left w:w="30" w:type="dxa"/>
              <w:bottom w:w="0" w:type="dxa"/>
              <w:right w:w="30" w:type="dxa"/>
            </w:tcMar>
          </w:tcPr>
          <w:p w14:paraId="2A6DC4A1"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FFFFFF"/>
              </w:rPr>
              <w:t>PHIe</w:t>
            </w:r>
          </w:p>
        </w:tc>
        <w:tc>
          <w:tcPr>
            <w:tcW w:w="0" w:type="auto"/>
            <w:shd w:val="clear" w:color="auto" w:fill="0000FF"/>
            <w:tcMar>
              <w:top w:w="0" w:type="dxa"/>
              <w:left w:w="30" w:type="dxa"/>
              <w:bottom w:w="0" w:type="dxa"/>
              <w:right w:w="30" w:type="dxa"/>
            </w:tcMar>
          </w:tcPr>
          <w:p w14:paraId="501D13A7" w14:textId="77777777" w:rsidR="00823E5D" w:rsidRPr="00FE3E2C" w:rsidRDefault="00823E5D" w:rsidP="00FE3E2C">
            <w:pPr>
              <w:autoSpaceDE w:val="0"/>
              <w:autoSpaceDN w:val="0"/>
              <w:spacing w:before="100" w:beforeAutospacing="1" w:after="100" w:afterAutospacing="1" w:line="276" w:lineRule="auto"/>
              <w:jc w:val="center"/>
            </w:pPr>
            <w:proofErr w:type="spellStart"/>
            <w:r w:rsidRPr="00FE3E2C">
              <w:rPr>
                <w:rFonts w:ascii="Arial" w:hAnsi="Arial" w:cs="Arial"/>
                <w:bCs/>
                <w:color w:val="FFFFFF"/>
              </w:rPr>
              <w:t>SWir</w:t>
            </w:r>
            <w:proofErr w:type="spellEnd"/>
          </w:p>
        </w:tc>
        <w:tc>
          <w:tcPr>
            <w:tcW w:w="0" w:type="auto"/>
            <w:shd w:val="clear" w:color="auto" w:fill="0000FF"/>
            <w:tcMar>
              <w:top w:w="0" w:type="dxa"/>
              <w:left w:w="30" w:type="dxa"/>
              <w:bottom w:w="0" w:type="dxa"/>
              <w:right w:w="30" w:type="dxa"/>
            </w:tcMar>
          </w:tcPr>
          <w:p w14:paraId="0687CC3B" w14:textId="77777777" w:rsidR="00823E5D" w:rsidRPr="00FE3E2C" w:rsidRDefault="00823E5D" w:rsidP="00FE3E2C">
            <w:pPr>
              <w:autoSpaceDE w:val="0"/>
              <w:autoSpaceDN w:val="0"/>
              <w:spacing w:before="100" w:beforeAutospacing="1" w:after="100" w:afterAutospacing="1" w:line="276" w:lineRule="auto"/>
              <w:jc w:val="center"/>
            </w:pPr>
            <w:proofErr w:type="spellStart"/>
            <w:r w:rsidRPr="00FE3E2C">
              <w:rPr>
                <w:rFonts w:ascii="Arial" w:hAnsi="Arial" w:cs="Arial"/>
                <w:bCs/>
                <w:color w:val="FFFFFF"/>
              </w:rPr>
              <w:t>SWir</w:t>
            </w:r>
            <w:proofErr w:type="spellEnd"/>
          </w:p>
        </w:tc>
        <w:tc>
          <w:tcPr>
            <w:tcW w:w="0" w:type="auto"/>
            <w:shd w:val="clear" w:color="auto" w:fill="0000FF"/>
            <w:tcMar>
              <w:top w:w="0" w:type="dxa"/>
              <w:left w:w="30" w:type="dxa"/>
              <w:bottom w:w="0" w:type="dxa"/>
              <w:right w:w="30" w:type="dxa"/>
            </w:tcMar>
          </w:tcPr>
          <w:p w14:paraId="22B2AFC1"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FFFFFF"/>
              </w:rPr>
              <w:t>PHI*SW</w:t>
            </w:r>
          </w:p>
        </w:tc>
        <w:tc>
          <w:tcPr>
            <w:tcW w:w="0" w:type="auto"/>
            <w:shd w:val="clear" w:color="auto" w:fill="0000FF"/>
            <w:tcMar>
              <w:top w:w="0" w:type="dxa"/>
              <w:left w:w="30" w:type="dxa"/>
              <w:bottom w:w="0" w:type="dxa"/>
              <w:right w:w="30" w:type="dxa"/>
            </w:tcMar>
          </w:tcPr>
          <w:p w14:paraId="3C0D3B0E"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FFFFFF"/>
              </w:rPr>
              <w:t>PHI*SW</w:t>
            </w:r>
          </w:p>
        </w:tc>
        <w:tc>
          <w:tcPr>
            <w:tcW w:w="0" w:type="auto"/>
            <w:shd w:val="clear" w:color="auto" w:fill="0000FF"/>
            <w:tcMar>
              <w:top w:w="0" w:type="dxa"/>
              <w:left w:w="30" w:type="dxa"/>
              <w:bottom w:w="0" w:type="dxa"/>
              <w:right w:w="30" w:type="dxa"/>
            </w:tcMar>
          </w:tcPr>
          <w:p w14:paraId="629F6DE9"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FFFFFF"/>
              </w:rPr>
              <w:t>sqrt/PHIe)</w:t>
            </w:r>
          </w:p>
        </w:tc>
        <w:tc>
          <w:tcPr>
            <w:tcW w:w="0" w:type="auto"/>
            <w:shd w:val="clear" w:color="auto" w:fill="0000FF"/>
            <w:tcMar>
              <w:top w:w="0" w:type="dxa"/>
              <w:left w:w="30" w:type="dxa"/>
              <w:bottom w:w="0" w:type="dxa"/>
              <w:right w:w="30" w:type="dxa"/>
            </w:tcMar>
          </w:tcPr>
          <w:p w14:paraId="19487E14"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FFFFFF"/>
              </w:rPr>
              <w:t>Pore Throat</w:t>
            </w:r>
          </w:p>
        </w:tc>
      </w:tr>
      <w:tr w:rsidR="00823E5D" w:rsidRPr="00FE3E2C" w14:paraId="1A2B1443" w14:textId="77777777">
        <w:trPr>
          <w:trHeight w:val="269"/>
          <w:tblCellSpacing w:w="15" w:type="dxa"/>
          <w:jc w:val="center"/>
        </w:trPr>
        <w:tc>
          <w:tcPr>
            <w:tcW w:w="0" w:type="auto"/>
            <w:shd w:val="clear" w:color="auto" w:fill="FFFFFF"/>
            <w:tcMar>
              <w:top w:w="0" w:type="dxa"/>
              <w:left w:w="30" w:type="dxa"/>
              <w:bottom w:w="0" w:type="dxa"/>
              <w:right w:w="30" w:type="dxa"/>
            </w:tcMar>
          </w:tcPr>
          <w:p w14:paraId="29D46DAC"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55803739"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m</w:t>
            </w:r>
          </w:p>
        </w:tc>
        <w:tc>
          <w:tcPr>
            <w:tcW w:w="0" w:type="auto"/>
            <w:shd w:val="clear" w:color="auto" w:fill="FFFFFF"/>
            <w:tcMar>
              <w:top w:w="0" w:type="dxa"/>
              <w:left w:w="30" w:type="dxa"/>
              <w:bottom w:w="0" w:type="dxa"/>
              <w:right w:w="30" w:type="dxa"/>
            </w:tcMar>
          </w:tcPr>
          <w:p w14:paraId="32D37A72" w14:textId="77777777" w:rsidR="00823E5D" w:rsidRPr="00FE3E2C" w:rsidRDefault="00823E5D" w:rsidP="00FE3E2C">
            <w:pPr>
              <w:autoSpaceDE w:val="0"/>
              <w:autoSpaceDN w:val="0"/>
              <w:spacing w:before="100" w:beforeAutospacing="1" w:after="100" w:afterAutospacing="1" w:line="276" w:lineRule="auto"/>
              <w:jc w:val="center"/>
            </w:pPr>
            <w:proofErr w:type="spellStart"/>
            <w:r w:rsidRPr="00FE3E2C">
              <w:rPr>
                <w:rFonts w:ascii="Arial" w:hAnsi="Arial" w:cs="Arial"/>
                <w:bCs/>
                <w:color w:val="000000"/>
              </w:rPr>
              <w:t>mD</w:t>
            </w:r>
            <w:proofErr w:type="spellEnd"/>
          </w:p>
        </w:tc>
        <w:tc>
          <w:tcPr>
            <w:tcW w:w="0" w:type="auto"/>
            <w:shd w:val="clear" w:color="auto" w:fill="FFFFFF"/>
            <w:tcMar>
              <w:top w:w="0" w:type="dxa"/>
              <w:left w:w="30" w:type="dxa"/>
              <w:bottom w:w="0" w:type="dxa"/>
              <w:right w:w="30" w:type="dxa"/>
            </w:tcMar>
          </w:tcPr>
          <w:p w14:paraId="760D411A"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75876C8A"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425m</w:t>
            </w:r>
          </w:p>
        </w:tc>
        <w:tc>
          <w:tcPr>
            <w:tcW w:w="0" w:type="auto"/>
            <w:shd w:val="clear" w:color="auto" w:fill="FFFFFF"/>
            <w:tcMar>
              <w:top w:w="0" w:type="dxa"/>
              <w:left w:w="30" w:type="dxa"/>
              <w:bottom w:w="0" w:type="dxa"/>
              <w:right w:w="30" w:type="dxa"/>
            </w:tcMar>
          </w:tcPr>
          <w:p w14:paraId="675BF220"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100m</w:t>
            </w:r>
          </w:p>
        </w:tc>
        <w:tc>
          <w:tcPr>
            <w:tcW w:w="0" w:type="auto"/>
            <w:shd w:val="clear" w:color="auto" w:fill="FFFFFF"/>
            <w:tcMar>
              <w:top w:w="0" w:type="dxa"/>
              <w:left w:w="30" w:type="dxa"/>
              <w:bottom w:w="0" w:type="dxa"/>
              <w:right w:w="30" w:type="dxa"/>
            </w:tcMar>
          </w:tcPr>
          <w:p w14:paraId="4D64A98A"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425m</w:t>
            </w:r>
          </w:p>
        </w:tc>
        <w:tc>
          <w:tcPr>
            <w:tcW w:w="0" w:type="auto"/>
            <w:shd w:val="clear" w:color="auto" w:fill="FFFFFF"/>
            <w:tcMar>
              <w:top w:w="0" w:type="dxa"/>
              <w:left w:w="30" w:type="dxa"/>
              <w:bottom w:w="0" w:type="dxa"/>
              <w:right w:w="30" w:type="dxa"/>
            </w:tcMar>
          </w:tcPr>
          <w:p w14:paraId="29C8ECE6"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100m</w:t>
            </w:r>
          </w:p>
        </w:tc>
        <w:tc>
          <w:tcPr>
            <w:tcW w:w="0" w:type="auto"/>
            <w:shd w:val="clear" w:color="auto" w:fill="FFFFFF"/>
            <w:tcMar>
              <w:top w:w="0" w:type="dxa"/>
              <w:left w:w="30" w:type="dxa"/>
              <w:bottom w:w="0" w:type="dxa"/>
              <w:right w:w="30" w:type="dxa"/>
            </w:tcMar>
          </w:tcPr>
          <w:p w14:paraId="1C34FE43"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380B077D"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Radius um</w:t>
            </w:r>
          </w:p>
        </w:tc>
      </w:tr>
      <w:tr w:rsidR="00823E5D" w:rsidRPr="00FE3E2C" w14:paraId="2EEBA91A" w14:textId="77777777">
        <w:trPr>
          <w:trHeight w:val="269"/>
          <w:tblCellSpacing w:w="15" w:type="dxa"/>
          <w:jc w:val="center"/>
        </w:trPr>
        <w:tc>
          <w:tcPr>
            <w:tcW w:w="0" w:type="auto"/>
            <w:shd w:val="clear" w:color="auto" w:fill="FFFFFF"/>
            <w:tcMar>
              <w:top w:w="0" w:type="dxa"/>
              <w:left w:w="30" w:type="dxa"/>
              <w:bottom w:w="0" w:type="dxa"/>
              <w:right w:w="30" w:type="dxa"/>
            </w:tcMar>
          </w:tcPr>
          <w:p w14:paraId="01B51D9E" w14:textId="77777777" w:rsidR="00823E5D" w:rsidRPr="00FE3E2C" w:rsidRDefault="00823E5D" w:rsidP="00FE3E2C">
            <w:pPr>
              <w:autoSpaceDE w:val="0"/>
              <w:autoSpaceDN w:val="0"/>
              <w:spacing w:before="100" w:beforeAutospacing="1" w:after="100" w:afterAutospacing="1" w:line="276" w:lineRule="auto"/>
            </w:pPr>
            <w:r w:rsidRPr="00FE3E2C">
              <w:rPr>
                <w:rFonts w:ascii="Arial" w:hAnsi="Arial" w:cs="Arial"/>
                <w:bCs/>
                <w:color w:val="000000"/>
              </w:rPr>
              <w:t>Bakken</w:t>
            </w:r>
          </w:p>
        </w:tc>
        <w:tc>
          <w:tcPr>
            <w:tcW w:w="0" w:type="auto"/>
            <w:shd w:val="clear" w:color="auto" w:fill="FFFFFF"/>
            <w:tcMar>
              <w:top w:w="0" w:type="dxa"/>
              <w:left w:w="30" w:type="dxa"/>
              <w:bottom w:w="0" w:type="dxa"/>
              <w:right w:w="30" w:type="dxa"/>
            </w:tcMar>
          </w:tcPr>
          <w:p w14:paraId="1C3DF09F" w14:textId="77777777" w:rsidR="00823E5D" w:rsidRPr="00FE3E2C" w:rsidRDefault="00823E5D" w:rsidP="00FE3E2C">
            <w:pPr>
              <w:autoSpaceDE w:val="0"/>
              <w:autoSpaceDN w:val="0"/>
              <w:spacing w:before="100" w:beforeAutospacing="1" w:after="100" w:afterAutospacing="1" w:line="276" w:lineRule="auto"/>
              <w:jc w:val="right"/>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0F44BC6A" w14:textId="77777777" w:rsidR="00823E5D" w:rsidRPr="00FE3E2C" w:rsidRDefault="00823E5D" w:rsidP="00FE3E2C">
            <w:pPr>
              <w:autoSpaceDE w:val="0"/>
              <w:autoSpaceDN w:val="0"/>
              <w:spacing w:before="100" w:beforeAutospacing="1" w:after="100" w:afterAutospacing="1" w:line="276" w:lineRule="auto"/>
              <w:jc w:val="right"/>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5AFCDEE9" w14:textId="77777777" w:rsidR="00823E5D" w:rsidRPr="00FE3E2C" w:rsidRDefault="00823E5D" w:rsidP="00FE3E2C">
            <w:pPr>
              <w:autoSpaceDE w:val="0"/>
              <w:autoSpaceDN w:val="0"/>
              <w:spacing w:before="100" w:beforeAutospacing="1" w:after="100" w:afterAutospacing="1" w:line="276" w:lineRule="auto"/>
              <w:jc w:val="right"/>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32007786" w14:textId="77777777" w:rsidR="00823E5D" w:rsidRPr="00FE3E2C" w:rsidRDefault="00823E5D" w:rsidP="00FE3E2C">
            <w:pPr>
              <w:autoSpaceDE w:val="0"/>
              <w:autoSpaceDN w:val="0"/>
              <w:spacing w:before="100" w:beforeAutospacing="1" w:after="100" w:afterAutospacing="1" w:line="276" w:lineRule="auto"/>
              <w:jc w:val="right"/>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56F61237" w14:textId="77777777" w:rsidR="00823E5D" w:rsidRPr="00FE3E2C" w:rsidRDefault="00823E5D" w:rsidP="00FE3E2C">
            <w:pPr>
              <w:autoSpaceDE w:val="0"/>
              <w:autoSpaceDN w:val="0"/>
              <w:spacing w:before="100" w:beforeAutospacing="1" w:after="100" w:afterAutospacing="1" w:line="276" w:lineRule="auto"/>
              <w:jc w:val="right"/>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3925AD36" w14:textId="77777777" w:rsidR="00823E5D" w:rsidRPr="00FE3E2C" w:rsidRDefault="00823E5D" w:rsidP="00FE3E2C">
            <w:pPr>
              <w:autoSpaceDE w:val="0"/>
              <w:autoSpaceDN w:val="0"/>
              <w:spacing w:before="100" w:beforeAutospacing="1" w:after="100" w:afterAutospacing="1" w:line="276" w:lineRule="auto"/>
              <w:jc w:val="right"/>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7572B34D" w14:textId="77777777" w:rsidR="00823E5D" w:rsidRPr="00FE3E2C" w:rsidRDefault="00823E5D" w:rsidP="00FE3E2C">
            <w:pPr>
              <w:autoSpaceDE w:val="0"/>
              <w:autoSpaceDN w:val="0"/>
              <w:spacing w:before="100" w:beforeAutospacing="1" w:after="100" w:afterAutospacing="1" w:line="276" w:lineRule="auto"/>
              <w:jc w:val="right"/>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4C558423" w14:textId="77777777" w:rsidR="00823E5D" w:rsidRPr="00FE3E2C" w:rsidRDefault="00823E5D" w:rsidP="00FE3E2C">
            <w:pPr>
              <w:autoSpaceDE w:val="0"/>
              <w:autoSpaceDN w:val="0"/>
              <w:spacing w:before="100" w:beforeAutospacing="1" w:after="100" w:afterAutospacing="1" w:line="276" w:lineRule="auto"/>
              <w:jc w:val="right"/>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07BB139A" w14:textId="77777777" w:rsidR="00823E5D" w:rsidRPr="00FE3E2C" w:rsidRDefault="00823E5D" w:rsidP="00FE3E2C">
            <w:pPr>
              <w:autoSpaceDE w:val="0"/>
              <w:autoSpaceDN w:val="0"/>
              <w:spacing w:before="100" w:beforeAutospacing="1" w:after="100" w:afterAutospacing="1" w:line="276" w:lineRule="auto"/>
              <w:jc w:val="right"/>
            </w:pPr>
            <w:r w:rsidRPr="00FE3E2C">
              <w:rPr>
                <w:rFonts w:ascii="Arial" w:hAnsi="Arial" w:cs="Arial"/>
                <w:bCs/>
                <w:color w:val="000000"/>
              </w:rPr>
              <w:t> </w:t>
            </w:r>
          </w:p>
        </w:tc>
      </w:tr>
      <w:tr w:rsidR="00823E5D" w:rsidRPr="00FE3E2C" w14:paraId="183AFF96" w14:textId="77777777">
        <w:trPr>
          <w:trHeight w:val="256"/>
          <w:tblCellSpacing w:w="15" w:type="dxa"/>
          <w:jc w:val="center"/>
        </w:trPr>
        <w:tc>
          <w:tcPr>
            <w:tcW w:w="0" w:type="auto"/>
            <w:shd w:val="clear" w:color="auto" w:fill="FFFFFF"/>
            <w:tcMar>
              <w:top w:w="0" w:type="dxa"/>
              <w:left w:w="30" w:type="dxa"/>
              <w:bottom w:w="0" w:type="dxa"/>
              <w:right w:w="30" w:type="dxa"/>
            </w:tcMar>
          </w:tcPr>
          <w:p w14:paraId="21C32017" w14:textId="77777777" w:rsidR="00823E5D" w:rsidRPr="00FE3E2C" w:rsidRDefault="00823E5D" w:rsidP="00FE3E2C">
            <w:pPr>
              <w:autoSpaceDE w:val="0"/>
              <w:autoSpaceDN w:val="0"/>
              <w:spacing w:before="100" w:beforeAutospacing="1" w:after="100" w:afterAutospacing="1" w:line="276" w:lineRule="auto"/>
              <w:jc w:val="right"/>
            </w:pPr>
            <w:r w:rsidRPr="00FE3E2C">
              <w:rPr>
                <w:rFonts w:ascii="Arial" w:hAnsi="Arial" w:cs="Arial"/>
                <w:bCs/>
                <w:color w:val="000000"/>
              </w:rPr>
              <w:t>1</w:t>
            </w:r>
          </w:p>
        </w:tc>
        <w:tc>
          <w:tcPr>
            <w:tcW w:w="0" w:type="auto"/>
            <w:shd w:val="clear" w:color="auto" w:fill="FFFFFF"/>
            <w:tcMar>
              <w:top w:w="0" w:type="dxa"/>
              <w:left w:w="30" w:type="dxa"/>
              <w:bottom w:w="0" w:type="dxa"/>
              <w:right w:w="30" w:type="dxa"/>
            </w:tcMar>
          </w:tcPr>
          <w:p w14:paraId="55B2DD6F"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03.5</w:t>
            </w:r>
          </w:p>
        </w:tc>
        <w:tc>
          <w:tcPr>
            <w:tcW w:w="0" w:type="auto"/>
            <w:shd w:val="clear" w:color="auto" w:fill="FFFFFF"/>
            <w:tcMar>
              <w:top w:w="0" w:type="dxa"/>
              <w:left w:w="30" w:type="dxa"/>
              <w:bottom w:w="0" w:type="dxa"/>
              <w:right w:w="30" w:type="dxa"/>
            </w:tcMar>
          </w:tcPr>
          <w:p w14:paraId="49E5C550"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2.40</w:t>
            </w:r>
          </w:p>
        </w:tc>
        <w:tc>
          <w:tcPr>
            <w:tcW w:w="0" w:type="auto"/>
            <w:shd w:val="clear" w:color="auto" w:fill="FFFFFF"/>
            <w:tcMar>
              <w:top w:w="0" w:type="dxa"/>
              <w:left w:w="30" w:type="dxa"/>
              <w:bottom w:w="0" w:type="dxa"/>
              <w:right w:w="30" w:type="dxa"/>
            </w:tcMar>
          </w:tcPr>
          <w:p w14:paraId="0ECF6DAD"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0.118</w:t>
            </w:r>
          </w:p>
        </w:tc>
        <w:tc>
          <w:tcPr>
            <w:tcW w:w="0" w:type="auto"/>
            <w:shd w:val="clear" w:color="auto" w:fill="FFFFFF"/>
            <w:tcMar>
              <w:top w:w="0" w:type="dxa"/>
              <w:left w:w="30" w:type="dxa"/>
              <w:bottom w:w="0" w:type="dxa"/>
              <w:right w:w="30" w:type="dxa"/>
            </w:tcMar>
          </w:tcPr>
          <w:p w14:paraId="46AF30A2"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0.12</w:t>
            </w:r>
          </w:p>
        </w:tc>
        <w:tc>
          <w:tcPr>
            <w:tcW w:w="0" w:type="auto"/>
            <w:shd w:val="clear" w:color="auto" w:fill="FFFFFF"/>
            <w:tcMar>
              <w:top w:w="0" w:type="dxa"/>
              <w:left w:w="30" w:type="dxa"/>
              <w:bottom w:w="0" w:type="dxa"/>
              <w:right w:w="30" w:type="dxa"/>
            </w:tcMar>
          </w:tcPr>
          <w:p w14:paraId="49E985D3"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0.19</w:t>
            </w:r>
          </w:p>
        </w:tc>
        <w:tc>
          <w:tcPr>
            <w:tcW w:w="0" w:type="auto"/>
            <w:shd w:val="clear" w:color="auto" w:fill="FFFFFF"/>
            <w:tcMar>
              <w:top w:w="0" w:type="dxa"/>
              <w:left w:w="30" w:type="dxa"/>
              <w:bottom w:w="0" w:type="dxa"/>
              <w:right w:w="30" w:type="dxa"/>
            </w:tcMar>
          </w:tcPr>
          <w:p w14:paraId="1EBFDABA"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0.014</w:t>
            </w:r>
          </w:p>
        </w:tc>
        <w:tc>
          <w:tcPr>
            <w:tcW w:w="0" w:type="auto"/>
            <w:shd w:val="clear" w:color="auto" w:fill="FFFFFF"/>
            <w:tcMar>
              <w:top w:w="0" w:type="dxa"/>
              <w:left w:w="30" w:type="dxa"/>
              <w:bottom w:w="0" w:type="dxa"/>
              <w:right w:w="30" w:type="dxa"/>
            </w:tcMar>
          </w:tcPr>
          <w:p w14:paraId="4136DAB3"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0.022</w:t>
            </w:r>
          </w:p>
        </w:tc>
        <w:tc>
          <w:tcPr>
            <w:tcW w:w="0" w:type="auto"/>
            <w:shd w:val="clear" w:color="auto" w:fill="FFFFFF"/>
            <w:tcMar>
              <w:top w:w="0" w:type="dxa"/>
              <w:left w:w="30" w:type="dxa"/>
              <w:bottom w:w="0" w:type="dxa"/>
              <w:right w:w="30" w:type="dxa"/>
            </w:tcMar>
          </w:tcPr>
          <w:p w14:paraId="7070E9A7"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4.51</w:t>
            </w:r>
          </w:p>
        </w:tc>
        <w:tc>
          <w:tcPr>
            <w:tcW w:w="0" w:type="auto"/>
            <w:shd w:val="clear" w:color="auto" w:fill="FFFFFF"/>
            <w:tcMar>
              <w:top w:w="0" w:type="dxa"/>
              <w:left w:w="30" w:type="dxa"/>
              <w:bottom w:w="0" w:type="dxa"/>
              <w:right w:w="30" w:type="dxa"/>
            </w:tcMar>
          </w:tcPr>
          <w:p w14:paraId="36C0A9B3"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1.358</w:t>
            </w:r>
          </w:p>
        </w:tc>
      </w:tr>
      <w:tr w:rsidR="00823E5D" w:rsidRPr="00FE3E2C" w14:paraId="097C412E" w14:textId="77777777">
        <w:trPr>
          <w:trHeight w:val="242"/>
          <w:tblCellSpacing w:w="15" w:type="dxa"/>
          <w:jc w:val="center"/>
        </w:trPr>
        <w:tc>
          <w:tcPr>
            <w:tcW w:w="0" w:type="auto"/>
            <w:shd w:val="clear" w:color="auto" w:fill="FFFFFF"/>
            <w:tcMar>
              <w:top w:w="0" w:type="dxa"/>
              <w:left w:w="30" w:type="dxa"/>
              <w:bottom w:w="0" w:type="dxa"/>
              <w:right w:w="30" w:type="dxa"/>
            </w:tcMar>
          </w:tcPr>
          <w:p w14:paraId="2A6BE2E1" w14:textId="77777777" w:rsidR="00823E5D" w:rsidRPr="00FE3E2C" w:rsidRDefault="00823E5D" w:rsidP="00FE3E2C">
            <w:pPr>
              <w:autoSpaceDE w:val="0"/>
              <w:autoSpaceDN w:val="0"/>
              <w:spacing w:before="100" w:beforeAutospacing="1" w:after="100" w:afterAutospacing="1" w:line="276" w:lineRule="auto"/>
              <w:jc w:val="right"/>
            </w:pPr>
            <w:r w:rsidRPr="00FE3E2C">
              <w:rPr>
                <w:rFonts w:ascii="Arial" w:hAnsi="Arial" w:cs="Arial"/>
                <w:bCs/>
                <w:color w:val="000000"/>
              </w:rPr>
              <w:t>2</w:t>
            </w:r>
          </w:p>
        </w:tc>
        <w:tc>
          <w:tcPr>
            <w:tcW w:w="0" w:type="auto"/>
            <w:shd w:val="clear" w:color="auto" w:fill="FFFFFF"/>
            <w:tcMar>
              <w:top w:w="0" w:type="dxa"/>
              <w:left w:w="30" w:type="dxa"/>
              <w:bottom w:w="0" w:type="dxa"/>
              <w:right w:w="30" w:type="dxa"/>
            </w:tcMar>
          </w:tcPr>
          <w:p w14:paraId="07EB8CDC"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04.3</w:t>
            </w:r>
          </w:p>
        </w:tc>
        <w:tc>
          <w:tcPr>
            <w:tcW w:w="0" w:type="auto"/>
            <w:shd w:val="clear" w:color="auto" w:fill="FFFFFF"/>
            <w:tcMar>
              <w:top w:w="0" w:type="dxa"/>
              <w:left w:w="30" w:type="dxa"/>
              <w:bottom w:w="0" w:type="dxa"/>
              <w:right w:w="30" w:type="dxa"/>
            </w:tcMar>
          </w:tcPr>
          <w:p w14:paraId="72879375"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0.24</w:t>
            </w:r>
          </w:p>
        </w:tc>
        <w:tc>
          <w:tcPr>
            <w:tcW w:w="0" w:type="auto"/>
            <w:shd w:val="clear" w:color="auto" w:fill="FFFFFF"/>
            <w:tcMar>
              <w:top w:w="0" w:type="dxa"/>
              <w:left w:w="30" w:type="dxa"/>
              <w:bottom w:w="0" w:type="dxa"/>
              <w:right w:w="30" w:type="dxa"/>
            </w:tcMar>
          </w:tcPr>
          <w:p w14:paraId="5630F0E7"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0.137</w:t>
            </w:r>
          </w:p>
        </w:tc>
        <w:tc>
          <w:tcPr>
            <w:tcW w:w="0" w:type="auto"/>
            <w:shd w:val="clear" w:color="auto" w:fill="FFFFFF"/>
            <w:tcMar>
              <w:top w:w="0" w:type="dxa"/>
              <w:left w:w="30" w:type="dxa"/>
              <w:bottom w:w="0" w:type="dxa"/>
              <w:right w:w="30" w:type="dxa"/>
            </w:tcMar>
          </w:tcPr>
          <w:p w14:paraId="2E96C26F"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0.62</w:t>
            </w:r>
          </w:p>
        </w:tc>
        <w:tc>
          <w:tcPr>
            <w:tcW w:w="0" w:type="auto"/>
            <w:shd w:val="clear" w:color="auto" w:fill="FFFFFF"/>
            <w:tcMar>
              <w:top w:w="0" w:type="dxa"/>
              <w:left w:w="30" w:type="dxa"/>
              <w:bottom w:w="0" w:type="dxa"/>
              <w:right w:w="30" w:type="dxa"/>
            </w:tcMar>
          </w:tcPr>
          <w:p w14:paraId="68ADE11B"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0.94</w:t>
            </w:r>
          </w:p>
        </w:tc>
        <w:tc>
          <w:tcPr>
            <w:tcW w:w="0" w:type="auto"/>
            <w:shd w:val="clear" w:color="auto" w:fill="FFFFFF"/>
            <w:tcMar>
              <w:top w:w="0" w:type="dxa"/>
              <w:left w:w="30" w:type="dxa"/>
              <w:bottom w:w="0" w:type="dxa"/>
              <w:right w:w="30" w:type="dxa"/>
            </w:tcMar>
          </w:tcPr>
          <w:p w14:paraId="71A1BF44"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0.085</w:t>
            </w:r>
          </w:p>
        </w:tc>
        <w:tc>
          <w:tcPr>
            <w:tcW w:w="0" w:type="auto"/>
            <w:shd w:val="clear" w:color="auto" w:fill="FFFFFF"/>
            <w:tcMar>
              <w:top w:w="0" w:type="dxa"/>
              <w:left w:w="30" w:type="dxa"/>
              <w:bottom w:w="0" w:type="dxa"/>
              <w:right w:w="30" w:type="dxa"/>
            </w:tcMar>
          </w:tcPr>
          <w:p w14:paraId="65339A92"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0.129</w:t>
            </w:r>
          </w:p>
        </w:tc>
        <w:tc>
          <w:tcPr>
            <w:tcW w:w="0" w:type="auto"/>
            <w:shd w:val="clear" w:color="auto" w:fill="FFFFFF"/>
            <w:tcMar>
              <w:top w:w="0" w:type="dxa"/>
              <w:left w:w="30" w:type="dxa"/>
              <w:bottom w:w="0" w:type="dxa"/>
              <w:right w:w="30" w:type="dxa"/>
            </w:tcMar>
          </w:tcPr>
          <w:p w14:paraId="07BDD172"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1.32</w:t>
            </w:r>
          </w:p>
        </w:tc>
        <w:tc>
          <w:tcPr>
            <w:tcW w:w="0" w:type="auto"/>
            <w:shd w:val="clear" w:color="auto" w:fill="FFFFFF"/>
            <w:tcMar>
              <w:top w:w="0" w:type="dxa"/>
              <w:left w:w="30" w:type="dxa"/>
              <w:bottom w:w="0" w:type="dxa"/>
              <w:right w:w="30" w:type="dxa"/>
            </w:tcMar>
          </w:tcPr>
          <w:p w14:paraId="1818C64D"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0.036</w:t>
            </w:r>
          </w:p>
        </w:tc>
      </w:tr>
      <w:tr w:rsidR="00823E5D" w:rsidRPr="00FE3E2C" w14:paraId="14611EA3" w14:textId="77777777">
        <w:trPr>
          <w:trHeight w:val="256"/>
          <w:tblCellSpacing w:w="15" w:type="dxa"/>
          <w:jc w:val="center"/>
        </w:trPr>
        <w:tc>
          <w:tcPr>
            <w:tcW w:w="0" w:type="auto"/>
            <w:shd w:val="clear" w:color="auto" w:fill="FFFFFF"/>
            <w:tcMar>
              <w:top w:w="0" w:type="dxa"/>
              <w:left w:w="30" w:type="dxa"/>
              <w:bottom w:w="0" w:type="dxa"/>
              <w:right w:w="30" w:type="dxa"/>
            </w:tcMar>
          </w:tcPr>
          <w:p w14:paraId="7EDD46F1" w14:textId="77777777" w:rsidR="00823E5D" w:rsidRPr="00FE3E2C" w:rsidRDefault="00823E5D" w:rsidP="00FE3E2C">
            <w:pPr>
              <w:autoSpaceDE w:val="0"/>
              <w:autoSpaceDN w:val="0"/>
              <w:spacing w:before="100" w:beforeAutospacing="1" w:after="100" w:afterAutospacing="1" w:line="276" w:lineRule="auto"/>
              <w:jc w:val="right"/>
            </w:pPr>
            <w:r w:rsidRPr="00FE3E2C">
              <w:rPr>
                <w:rFonts w:ascii="Arial" w:hAnsi="Arial" w:cs="Arial"/>
                <w:bCs/>
                <w:color w:val="000000"/>
              </w:rPr>
              <w:t>3</w:t>
            </w:r>
          </w:p>
        </w:tc>
        <w:tc>
          <w:tcPr>
            <w:tcW w:w="0" w:type="auto"/>
            <w:shd w:val="clear" w:color="auto" w:fill="FFFFFF"/>
            <w:tcMar>
              <w:top w:w="0" w:type="dxa"/>
              <w:left w:w="30" w:type="dxa"/>
              <w:bottom w:w="0" w:type="dxa"/>
              <w:right w:w="30" w:type="dxa"/>
            </w:tcMar>
          </w:tcPr>
          <w:p w14:paraId="09F78576"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04.5</w:t>
            </w:r>
          </w:p>
        </w:tc>
        <w:tc>
          <w:tcPr>
            <w:tcW w:w="0" w:type="auto"/>
            <w:shd w:val="clear" w:color="auto" w:fill="FFFFFF"/>
            <w:tcMar>
              <w:top w:w="0" w:type="dxa"/>
              <w:left w:w="30" w:type="dxa"/>
              <w:bottom w:w="0" w:type="dxa"/>
              <w:right w:w="30" w:type="dxa"/>
            </w:tcMar>
          </w:tcPr>
          <w:p w14:paraId="77C7C7B8"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0.32</w:t>
            </w:r>
          </w:p>
        </w:tc>
        <w:tc>
          <w:tcPr>
            <w:tcW w:w="0" w:type="auto"/>
            <w:shd w:val="clear" w:color="auto" w:fill="FFFFFF"/>
            <w:tcMar>
              <w:top w:w="0" w:type="dxa"/>
              <w:left w:w="30" w:type="dxa"/>
              <w:bottom w:w="0" w:type="dxa"/>
              <w:right w:w="30" w:type="dxa"/>
            </w:tcMar>
          </w:tcPr>
          <w:p w14:paraId="4645E577"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0.139</w:t>
            </w:r>
          </w:p>
        </w:tc>
        <w:tc>
          <w:tcPr>
            <w:tcW w:w="0" w:type="auto"/>
            <w:shd w:val="clear" w:color="auto" w:fill="FFFFFF"/>
            <w:tcMar>
              <w:top w:w="0" w:type="dxa"/>
              <w:left w:w="30" w:type="dxa"/>
              <w:bottom w:w="0" w:type="dxa"/>
              <w:right w:w="30" w:type="dxa"/>
            </w:tcMar>
          </w:tcPr>
          <w:p w14:paraId="0280D762"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0.39</w:t>
            </w:r>
          </w:p>
        </w:tc>
        <w:tc>
          <w:tcPr>
            <w:tcW w:w="0" w:type="auto"/>
            <w:shd w:val="clear" w:color="auto" w:fill="FFFFFF"/>
            <w:tcMar>
              <w:top w:w="0" w:type="dxa"/>
              <w:left w:w="30" w:type="dxa"/>
              <w:bottom w:w="0" w:type="dxa"/>
              <w:right w:w="30" w:type="dxa"/>
            </w:tcMar>
          </w:tcPr>
          <w:p w14:paraId="23D37337"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0.64</w:t>
            </w:r>
          </w:p>
        </w:tc>
        <w:tc>
          <w:tcPr>
            <w:tcW w:w="0" w:type="auto"/>
            <w:shd w:val="clear" w:color="auto" w:fill="FFFFFF"/>
            <w:tcMar>
              <w:top w:w="0" w:type="dxa"/>
              <w:left w:w="30" w:type="dxa"/>
              <w:bottom w:w="0" w:type="dxa"/>
              <w:right w:w="30" w:type="dxa"/>
            </w:tcMar>
          </w:tcPr>
          <w:p w14:paraId="01F7C9B2"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0.054</w:t>
            </w:r>
          </w:p>
        </w:tc>
        <w:tc>
          <w:tcPr>
            <w:tcW w:w="0" w:type="auto"/>
            <w:shd w:val="clear" w:color="auto" w:fill="FFFFFF"/>
            <w:tcMar>
              <w:top w:w="0" w:type="dxa"/>
              <w:left w:w="30" w:type="dxa"/>
              <w:bottom w:w="0" w:type="dxa"/>
              <w:right w:w="30" w:type="dxa"/>
            </w:tcMar>
          </w:tcPr>
          <w:p w14:paraId="1A016B70"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0.089</w:t>
            </w:r>
          </w:p>
        </w:tc>
        <w:tc>
          <w:tcPr>
            <w:tcW w:w="0" w:type="auto"/>
            <w:shd w:val="clear" w:color="auto" w:fill="FFFFFF"/>
            <w:tcMar>
              <w:top w:w="0" w:type="dxa"/>
              <w:left w:w="30" w:type="dxa"/>
              <w:bottom w:w="0" w:type="dxa"/>
              <w:right w:w="30" w:type="dxa"/>
            </w:tcMar>
          </w:tcPr>
          <w:p w14:paraId="43835CE4"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1.52</w:t>
            </w:r>
          </w:p>
        </w:tc>
        <w:tc>
          <w:tcPr>
            <w:tcW w:w="0" w:type="auto"/>
            <w:shd w:val="clear" w:color="auto" w:fill="FFFFFF"/>
            <w:tcMar>
              <w:top w:w="0" w:type="dxa"/>
              <w:left w:w="30" w:type="dxa"/>
              <w:bottom w:w="0" w:type="dxa"/>
              <w:right w:w="30" w:type="dxa"/>
            </w:tcMar>
          </w:tcPr>
          <w:p w14:paraId="218F5FF6"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0.100</w:t>
            </w:r>
          </w:p>
        </w:tc>
      </w:tr>
      <w:tr w:rsidR="00823E5D" w:rsidRPr="00FE3E2C" w14:paraId="3A710B4E" w14:textId="77777777">
        <w:trPr>
          <w:trHeight w:val="242"/>
          <w:tblCellSpacing w:w="15" w:type="dxa"/>
          <w:jc w:val="center"/>
        </w:trPr>
        <w:tc>
          <w:tcPr>
            <w:tcW w:w="0" w:type="auto"/>
            <w:shd w:val="clear" w:color="auto" w:fill="FFFFFF"/>
            <w:tcMar>
              <w:top w:w="0" w:type="dxa"/>
              <w:left w:w="30" w:type="dxa"/>
              <w:bottom w:w="0" w:type="dxa"/>
              <w:right w:w="30" w:type="dxa"/>
            </w:tcMar>
          </w:tcPr>
          <w:p w14:paraId="6CE10484" w14:textId="77777777" w:rsidR="00823E5D" w:rsidRPr="00FE3E2C" w:rsidRDefault="00823E5D" w:rsidP="00FE3E2C">
            <w:pPr>
              <w:autoSpaceDE w:val="0"/>
              <w:autoSpaceDN w:val="0"/>
              <w:spacing w:before="100" w:beforeAutospacing="1" w:after="100" w:afterAutospacing="1" w:line="276" w:lineRule="auto"/>
              <w:jc w:val="right"/>
            </w:pPr>
            <w:r w:rsidRPr="00FE3E2C">
              <w:rPr>
                <w:rFonts w:ascii="Arial" w:hAnsi="Arial" w:cs="Arial"/>
                <w:bCs/>
                <w:color w:val="000000"/>
              </w:rPr>
              <w:t>4</w:t>
            </w:r>
          </w:p>
        </w:tc>
        <w:tc>
          <w:tcPr>
            <w:tcW w:w="0" w:type="auto"/>
            <w:shd w:val="clear" w:color="auto" w:fill="FFFFFF"/>
            <w:tcMar>
              <w:top w:w="0" w:type="dxa"/>
              <w:left w:w="30" w:type="dxa"/>
              <w:bottom w:w="0" w:type="dxa"/>
              <w:right w:w="30" w:type="dxa"/>
            </w:tcMar>
          </w:tcPr>
          <w:p w14:paraId="0F7729BA"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05.2</w:t>
            </w:r>
          </w:p>
        </w:tc>
        <w:tc>
          <w:tcPr>
            <w:tcW w:w="0" w:type="auto"/>
            <w:shd w:val="clear" w:color="auto" w:fill="FFFFFF"/>
            <w:tcMar>
              <w:top w:w="0" w:type="dxa"/>
              <w:left w:w="30" w:type="dxa"/>
              <w:bottom w:w="0" w:type="dxa"/>
              <w:right w:w="30" w:type="dxa"/>
            </w:tcMar>
          </w:tcPr>
          <w:p w14:paraId="69887C17"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0.77</w:t>
            </w:r>
          </w:p>
        </w:tc>
        <w:tc>
          <w:tcPr>
            <w:tcW w:w="0" w:type="auto"/>
            <w:shd w:val="clear" w:color="auto" w:fill="FFFFFF"/>
            <w:tcMar>
              <w:top w:w="0" w:type="dxa"/>
              <w:left w:w="30" w:type="dxa"/>
              <w:bottom w:w="0" w:type="dxa"/>
              <w:right w:w="30" w:type="dxa"/>
            </w:tcMar>
          </w:tcPr>
          <w:p w14:paraId="340D6F0C"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0.149</w:t>
            </w:r>
          </w:p>
        </w:tc>
        <w:tc>
          <w:tcPr>
            <w:tcW w:w="0" w:type="auto"/>
            <w:shd w:val="clear" w:color="auto" w:fill="FFFFFF"/>
            <w:tcMar>
              <w:top w:w="0" w:type="dxa"/>
              <w:left w:w="30" w:type="dxa"/>
              <w:bottom w:w="0" w:type="dxa"/>
              <w:right w:w="30" w:type="dxa"/>
            </w:tcMar>
          </w:tcPr>
          <w:p w14:paraId="026A0065"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0.31</w:t>
            </w:r>
          </w:p>
        </w:tc>
        <w:tc>
          <w:tcPr>
            <w:tcW w:w="0" w:type="auto"/>
            <w:shd w:val="clear" w:color="auto" w:fill="FFFFFF"/>
            <w:tcMar>
              <w:top w:w="0" w:type="dxa"/>
              <w:left w:w="30" w:type="dxa"/>
              <w:bottom w:w="0" w:type="dxa"/>
              <w:right w:w="30" w:type="dxa"/>
            </w:tcMar>
          </w:tcPr>
          <w:p w14:paraId="379DDEC9"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0.62</w:t>
            </w:r>
          </w:p>
        </w:tc>
        <w:tc>
          <w:tcPr>
            <w:tcW w:w="0" w:type="auto"/>
            <w:shd w:val="clear" w:color="auto" w:fill="FFFFFF"/>
            <w:tcMar>
              <w:top w:w="0" w:type="dxa"/>
              <w:left w:w="30" w:type="dxa"/>
              <w:bottom w:w="0" w:type="dxa"/>
              <w:right w:w="30" w:type="dxa"/>
            </w:tcMar>
          </w:tcPr>
          <w:p w14:paraId="3E78926C"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0.046</w:t>
            </w:r>
          </w:p>
        </w:tc>
        <w:tc>
          <w:tcPr>
            <w:tcW w:w="0" w:type="auto"/>
            <w:shd w:val="clear" w:color="auto" w:fill="FFFFFF"/>
            <w:tcMar>
              <w:top w:w="0" w:type="dxa"/>
              <w:left w:w="30" w:type="dxa"/>
              <w:bottom w:w="0" w:type="dxa"/>
              <w:right w:w="30" w:type="dxa"/>
            </w:tcMar>
          </w:tcPr>
          <w:p w14:paraId="32961C11"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0.092</w:t>
            </w:r>
          </w:p>
        </w:tc>
        <w:tc>
          <w:tcPr>
            <w:tcW w:w="0" w:type="auto"/>
            <w:shd w:val="clear" w:color="auto" w:fill="FFFFFF"/>
            <w:tcMar>
              <w:top w:w="0" w:type="dxa"/>
              <w:left w:w="30" w:type="dxa"/>
              <w:bottom w:w="0" w:type="dxa"/>
              <w:right w:w="30" w:type="dxa"/>
            </w:tcMar>
          </w:tcPr>
          <w:p w14:paraId="43BF820E"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2.27</w:t>
            </w:r>
          </w:p>
        </w:tc>
        <w:tc>
          <w:tcPr>
            <w:tcW w:w="0" w:type="auto"/>
            <w:shd w:val="clear" w:color="auto" w:fill="FFFFFF"/>
            <w:tcMar>
              <w:top w:w="0" w:type="dxa"/>
              <w:left w:w="30" w:type="dxa"/>
              <w:bottom w:w="0" w:type="dxa"/>
              <w:right w:w="30" w:type="dxa"/>
            </w:tcMar>
          </w:tcPr>
          <w:p w14:paraId="24ED30AC"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0.113</w:t>
            </w:r>
          </w:p>
        </w:tc>
      </w:tr>
      <w:tr w:rsidR="00823E5D" w:rsidRPr="00FE3E2C" w14:paraId="62BEFFF5" w14:textId="77777777">
        <w:trPr>
          <w:trHeight w:val="242"/>
          <w:tblCellSpacing w:w="15" w:type="dxa"/>
          <w:jc w:val="center"/>
        </w:trPr>
        <w:tc>
          <w:tcPr>
            <w:tcW w:w="0" w:type="auto"/>
            <w:shd w:val="clear" w:color="auto" w:fill="FFFFFF"/>
            <w:tcMar>
              <w:top w:w="0" w:type="dxa"/>
              <w:left w:w="30" w:type="dxa"/>
              <w:bottom w:w="0" w:type="dxa"/>
              <w:right w:w="30" w:type="dxa"/>
            </w:tcMar>
          </w:tcPr>
          <w:p w14:paraId="1DCB7A7E" w14:textId="77777777" w:rsidR="00823E5D" w:rsidRPr="00FE3E2C" w:rsidRDefault="00823E5D" w:rsidP="00FE3E2C">
            <w:pPr>
              <w:autoSpaceDE w:val="0"/>
              <w:autoSpaceDN w:val="0"/>
              <w:spacing w:before="100" w:beforeAutospacing="1" w:after="100" w:afterAutospacing="1" w:line="276" w:lineRule="auto"/>
            </w:pPr>
            <w:r w:rsidRPr="00FE3E2C">
              <w:rPr>
                <w:rFonts w:ascii="Arial" w:hAnsi="Arial" w:cs="Arial"/>
                <w:bCs/>
                <w:color w:val="000000"/>
              </w:rPr>
              <w:t>Average</w:t>
            </w:r>
          </w:p>
        </w:tc>
        <w:tc>
          <w:tcPr>
            <w:tcW w:w="0" w:type="auto"/>
            <w:shd w:val="clear" w:color="auto" w:fill="FFFFFF"/>
            <w:tcMar>
              <w:top w:w="0" w:type="dxa"/>
              <w:left w:w="30" w:type="dxa"/>
              <w:bottom w:w="0" w:type="dxa"/>
              <w:right w:w="30" w:type="dxa"/>
            </w:tcMar>
          </w:tcPr>
          <w:p w14:paraId="2226EE5F"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04.4</w:t>
            </w:r>
          </w:p>
        </w:tc>
        <w:tc>
          <w:tcPr>
            <w:tcW w:w="0" w:type="auto"/>
            <w:shd w:val="clear" w:color="auto" w:fill="FFFFFF"/>
            <w:tcMar>
              <w:top w:w="0" w:type="dxa"/>
              <w:left w:w="30" w:type="dxa"/>
              <w:bottom w:w="0" w:type="dxa"/>
              <w:right w:w="30" w:type="dxa"/>
            </w:tcMar>
          </w:tcPr>
          <w:p w14:paraId="4A9367A3"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0.93</w:t>
            </w:r>
          </w:p>
        </w:tc>
        <w:tc>
          <w:tcPr>
            <w:tcW w:w="0" w:type="auto"/>
            <w:shd w:val="clear" w:color="auto" w:fill="FFFFFF"/>
            <w:tcMar>
              <w:top w:w="0" w:type="dxa"/>
              <w:left w:w="30" w:type="dxa"/>
              <w:bottom w:w="0" w:type="dxa"/>
              <w:right w:w="30" w:type="dxa"/>
            </w:tcMar>
          </w:tcPr>
          <w:p w14:paraId="13FBA9BD"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0.136</w:t>
            </w:r>
          </w:p>
        </w:tc>
        <w:tc>
          <w:tcPr>
            <w:tcW w:w="0" w:type="auto"/>
            <w:shd w:val="clear" w:color="auto" w:fill="FFFFFF"/>
            <w:tcMar>
              <w:top w:w="0" w:type="dxa"/>
              <w:left w:w="30" w:type="dxa"/>
              <w:bottom w:w="0" w:type="dxa"/>
              <w:right w:w="30" w:type="dxa"/>
            </w:tcMar>
          </w:tcPr>
          <w:p w14:paraId="38AB831D"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0.36</w:t>
            </w:r>
          </w:p>
        </w:tc>
        <w:tc>
          <w:tcPr>
            <w:tcW w:w="0" w:type="auto"/>
            <w:shd w:val="clear" w:color="auto" w:fill="FFFFFF"/>
            <w:tcMar>
              <w:top w:w="0" w:type="dxa"/>
              <w:left w:w="30" w:type="dxa"/>
              <w:bottom w:w="0" w:type="dxa"/>
              <w:right w:w="30" w:type="dxa"/>
            </w:tcMar>
          </w:tcPr>
          <w:p w14:paraId="26D1C601"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0.60</w:t>
            </w:r>
          </w:p>
        </w:tc>
        <w:tc>
          <w:tcPr>
            <w:tcW w:w="0" w:type="auto"/>
            <w:shd w:val="clear" w:color="auto" w:fill="FFFFFF"/>
            <w:tcMar>
              <w:top w:w="0" w:type="dxa"/>
              <w:left w:w="30" w:type="dxa"/>
              <w:bottom w:w="0" w:type="dxa"/>
              <w:right w:w="30" w:type="dxa"/>
            </w:tcMar>
          </w:tcPr>
          <w:p w14:paraId="58A5DF5E"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0.050</w:t>
            </w:r>
          </w:p>
        </w:tc>
        <w:tc>
          <w:tcPr>
            <w:tcW w:w="0" w:type="auto"/>
            <w:shd w:val="clear" w:color="auto" w:fill="FFFFFF"/>
            <w:tcMar>
              <w:top w:w="0" w:type="dxa"/>
              <w:left w:w="30" w:type="dxa"/>
              <w:bottom w:w="0" w:type="dxa"/>
              <w:right w:w="30" w:type="dxa"/>
            </w:tcMar>
          </w:tcPr>
          <w:p w14:paraId="6E76EC2B"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0.083</w:t>
            </w:r>
          </w:p>
        </w:tc>
        <w:tc>
          <w:tcPr>
            <w:tcW w:w="0" w:type="auto"/>
            <w:shd w:val="clear" w:color="auto" w:fill="FFFFFF"/>
            <w:tcMar>
              <w:top w:w="0" w:type="dxa"/>
              <w:left w:w="30" w:type="dxa"/>
              <w:bottom w:w="0" w:type="dxa"/>
              <w:right w:w="30" w:type="dxa"/>
            </w:tcMar>
          </w:tcPr>
          <w:p w14:paraId="634F1159"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2.41</w:t>
            </w:r>
          </w:p>
        </w:tc>
        <w:tc>
          <w:tcPr>
            <w:tcW w:w="0" w:type="auto"/>
            <w:shd w:val="clear" w:color="auto" w:fill="FFFFFF"/>
            <w:tcMar>
              <w:top w:w="0" w:type="dxa"/>
              <w:left w:w="30" w:type="dxa"/>
              <w:bottom w:w="0" w:type="dxa"/>
              <w:right w:w="30" w:type="dxa"/>
            </w:tcMar>
          </w:tcPr>
          <w:p w14:paraId="6B597A8A"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0.402</w:t>
            </w:r>
          </w:p>
        </w:tc>
      </w:tr>
      <w:tr w:rsidR="00823E5D" w:rsidRPr="00FE3E2C" w14:paraId="7FF5BD34" w14:textId="77777777">
        <w:trPr>
          <w:trHeight w:val="242"/>
          <w:tblCellSpacing w:w="15" w:type="dxa"/>
          <w:jc w:val="center"/>
        </w:trPr>
        <w:tc>
          <w:tcPr>
            <w:tcW w:w="0" w:type="auto"/>
            <w:shd w:val="clear" w:color="auto" w:fill="FFFFFF"/>
            <w:tcMar>
              <w:top w:w="0" w:type="dxa"/>
              <w:left w:w="30" w:type="dxa"/>
              <w:bottom w:w="0" w:type="dxa"/>
              <w:right w:w="30" w:type="dxa"/>
            </w:tcMar>
          </w:tcPr>
          <w:p w14:paraId="546E55B6" w14:textId="77777777" w:rsidR="00823E5D" w:rsidRPr="00FE3E2C" w:rsidRDefault="00823E5D" w:rsidP="00FE3E2C">
            <w:pPr>
              <w:autoSpaceDE w:val="0"/>
              <w:autoSpaceDN w:val="0"/>
              <w:spacing w:before="100" w:beforeAutospacing="1" w:after="100" w:afterAutospacing="1" w:line="276" w:lineRule="auto"/>
              <w:jc w:val="right"/>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27DAFCB0"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171CB00D"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429A9A78"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4024CCD4"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5ED2B5AF"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5490DE27"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54A7675E"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35355BE3"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5B12EC07"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r>
      <w:tr w:rsidR="00823E5D" w:rsidRPr="00FE3E2C" w14:paraId="46FF02F1" w14:textId="77777777">
        <w:trPr>
          <w:trHeight w:val="242"/>
          <w:tblCellSpacing w:w="15" w:type="dxa"/>
          <w:jc w:val="center"/>
        </w:trPr>
        <w:tc>
          <w:tcPr>
            <w:tcW w:w="0" w:type="auto"/>
            <w:shd w:val="clear" w:color="auto" w:fill="FFFFFF"/>
            <w:tcMar>
              <w:top w:w="0" w:type="dxa"/>
              <w:left w:w="30" w:type="dxa"/>
              <w:bottom w:w="0" w:type="dxa"/>
              <w:right w:w="30" w:type="dxa"/>
            </w:tcMar>
          </w:tcPr>
          <w:p w14:paraId="11686CFA" w14:textId="77777777" w:rsidR="00823E5D" w:rsidRPr="00FE3E2C" w:rsidRDefault="00823E5D" w:rsidP="00FE3E2C">
            <w:pPr>
              <w:autoSpaceDE w:val="0"/>
              <w:autoSpaceDN w:val="0"/>
              <w:spacing w:before="100" w:beforeAutospacing="1" w:after="100" w:afterAutospacing="1" w:line="276" w:lineRule="auto"/>
            </w:pPr>
            <w:r w:rsidRPr="00FE3E2C">
              <w:rPr>
                <w:rFonts w:ascii="Arial" w:hAnsi="Arial" w:cs="Arial"/>
                <w:bCs/>
                <w:color w:val="000000"/>
              </w:rPr>
              <w:t>Torquay</w:t>
            </w:r>
          </w:p>
        </w:tc>
        <w:tc>
          <w:tcPr>
            <w:tcW w:w="0" w:type="auto"/>
            <w:shd w:val="clear" w:color="auto" w:fill="FFFFFF"/>
            <w:tcMar>
              <w:top w:w="0" w:type="dxa"/>
              <w:left w:w="30" w:type="dxa"/>
              <w:bottom w:w="0" w:type="dxa"/>
              <w:right w:w="30" w:type="dxa"/>
            </w:tcMar>
          </w:tcPr>
          <w:p w14:paraId="6E297AAD"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4854201B"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5E607CF4"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36A691FB"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2F3B0EE5"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07B73053"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19C59E6C"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4D5B4689"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c>
          <w:tcPr>
            <w:tcW w:w="0" w:type="auto"/>
            <w:shd w:val="clear" w:color="auto" w:fill="FFFFFF"/>
            <w:tcMar>
              <w:top w:w="0" w:type="dxa"/>
              <w:left w:w="30" w:type="dxa"/>
              <w:bottom w:w="0" w:type="dxa"/>
              <w:right w:w="30" w:type="dxa"/>
            </w:tcMar>
          </w:tcPr>
          <w:p w14:paraId="41ADE38A"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 </w:t>
            </w:r>
          </w:p>
        </w:tc>
      </w:tr>
      <w:tr w:rsidR="00823E5D" w:rsidRPr="00FE3E2C" w14:paraId="7853AE27" w14:textId="77777777">
        <w:trPr>
          <w:trHeight w:val="283"/>
          <w:tblCellSpacing w:w="15" w:type="dxa"/>
          <w:jc w:val="center"/>
        </w:trPr>
        <w:tc>
          <w:tcPr>
            <w:tcW w:w="0" w:type="auto"/>
            <w:shd w:val="clear" w:color="auto" w:fill="FFFFFF"/>
            <w:tcMar>
              <w:top w:w="0" w:type="dxa"/>
              <w:left w:w="30" w:type="dxa"/>
              <w:bottom w:w="0" w:type="dxa"/>
              <w:right w:w="30" w:type="dxa"/>
            </w:tcMar>
          </w:tcPr>
          <w:p w14:paraId="4020C146" w14:textId="77777777" w:rsidR="00823E5D" w:rsidRPr="00FE3E2C" w:rsidRDefault="00823E5D" w:rsidP="00FE3E2C">
            <w:pPr>
              <w:autoSpaceDE w:val="0"/>
              <w:autoSpaceDN w:val="0"/>
              <w:spacing w:before="100" w:beforeAutospacing="1" w:after="100" w:afterAutospacing="1" w:line="276" w:lineRule="auto"/>
              <w:jc w:val="right"/>
            </w:pPr>
            <w:r w:rsidRPr="00FE3E2C">
              <w:rPr>
                <w:rFonts w:ascii="Arial" w:hAnsi="Arial" w:cs="Arial"/>
                <w:bCs/>
                <w:color w:val="000000"/>
              </w:rPr>
              <w:t>5</w:t>
            </w:r>
          </w:p>
        </w:tc>
        <w:tc>
          <w:tcPr>
            <w:tcW w:w="0" w:type="auto"/>
            <w:shd w:val="clear" w:color="auto" w:fill="FFFFFF"/>
            <w:tcMar>
              <w:top w:w="0" w:type="dxa"/>
              <w:left w:w="30" w:type="dxa"/>
              <w:bottom w:w="0" w:type="dxa"/>
              <w:right w:w="30" w:type="dxa"/>
            </w:tcMar>
          </w:tcPr>
          <w:p w14:paraId="43A37F95"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16.8</w:t>
            </w:r>
          </w:p>
        </w:tc>
        <w:tc>
          <w:tcPr>
            <w:tcW w:w="0" w:type="auto"/>
            <w:shd w:val="clear" w:color="auto" w:fill="FFFFFF"/>
            <w:tcMar>
              <w:top w:w="0" w:type="dxa"/>
              <w:left w:w="30" w:type="dxa"/>
              <w:bottom w:w="0" w:type="dxa"/>
              <w:right w:w="30" w:type="dxa"/>
            </w:tcMar>
          </w:tcPr>
          <w:p w14:paraId="72625935"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0.05</w:t>
            </w:r>
          </w:p>
        </w:tc>
        <w:tc>
          <w:tcPr>
            <w:tcW w:w="0" w:type="auto"/>
            <w:shd w:val="clear" w:color="auto" w:fill="FFFFFF"/>
            <w:tcMar>
              <w:top w:w="0" w:type="dxa"/>
              <w:left w:w="30" w:type="dxa"/>
              <w:bottom w:w="0" w:type="dxa"/>
              <w:right w:w="30" w:type="dxa"/>
            </w:tcMar>
          </w:tcPr>
          <w:p w14:paraId="42053D8A"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0.163</w:t>
            </w:r>
          </w:p>
        </w:tc>
        <w:tc>
          <w:tcPr>
            <w:tcW w:w="0" w:type="auto"/>
            <w:shd w:val="clear" w:color="auto" w:fill="FFFFFF"/>
            <w:tcMar>
              <w:top w:w="0" w:type="dxa"/>
              <w:left w:w="30" w:type="dxa"/>
              <w:bottom w:w="0" w:type="dxa"/>
              <w:right w:w="30" w:type="dxa"/>
            </w:tcMar>
          </w:tcPr>
          <w:p w14:paraId="5E16B790"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1.00</w:t>
            </w:r>
          </w:p>
        </w:tc>
        <w:tc>
          <w:tcPr>
            <w:tcW w:w="0" w:type="auto"/>
            <w:shd w:val="clear" w:color="auto" w:fill="FFFFFF"/>
            <w:tcMar>
              <w:top w:w="0" w:type="dxa"/>
              <w:left w:w="30" w:type="dxa"/>
              <w:bottom w:w="0" w:type="dxa"/>
              <w:right w:w="30" w:type="dxa"/>
            </w:tcMar>
          </w:tcPr>
          <w:p w14:paraId="288D06C0"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1.00</w:t>
            </w:r>
          </w:p>
        </w:tc>
        <w:tc>
          <w:tcPr>
            <w:tcW w:w="0" w:type="auto"/>
            <w:shd w:val="clear" w:color="auto" w:fill="FFFFFF"/>
            <w:tcMar>
              <w:top w:w="0" w:type="dxa"/>
              <w:left w:w="30" w:type="dxa"/>
              <w:bottom w:w="0" w:type="dxa"/>
              <w:right w:w="30" w:type="dxa"/>
            </w:tcMar>
          </w:tcPr>
          <w:p w14:paraId="4548BBC2"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0.163</w:t>
            </w:r>
          </w:p>
        </w:tc>
        <w:tc>
          <w:tcPr>
            <w:tcW w:w="0" w:type="auto"/>
            <w:shd w:val="clear" w:color="auto" w:fill="FFFFFF"/>
            <w:tcMar>
              <w:top w:w="0" w:type="dxa"/>
              <w:left w:w="30" w:type="dxa"/>
              <w:bottom w:w="0" w:type="dxa"/>
              <w:right w:w="30" w:type="dxa"/>
            </w:tcMar>
          </w:tcPr>
          <w:p w14:paraId="1257CA4F"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0.163</w:t>
            </w:r>
          </w:p>
        </w:tc>
        <w:tc>
          <w:tcPr>
            <w:tcW w:w="0" w:type="auto"/>
            <w:shd w:val="clear" w:color="auto" w:fill="FFFFFF"/>
            <w:tcMar>
              <w:top w:w="0" w:type="dxa"/>
              <w:left w:w="30" w:type="dxa"/>
              <w:bottom w:w="0" w:type="dxa"/>
              <w:right w:w="30" w:type="dxa"/>
            </w:tcMar>
          </w:tcPr>
          <w:p w14:paraId="4CF90174"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0.55</w:t>
            </w:r>
          </w:p>
        </w:tc>
        <w:tc>
          <w:tcPr>
            <w:tcW w:w="0" w:type="auto"/>
            <w:shd w:val="clear" w:color="auto" w:fill="FFFFFF"/>
            <w:tcMar>
              <w:top w:w="0" w:type="dxa"/>
              <w:left w:w="30" w:type="dxa"/>
              <w:bottom w:w="0" w:type="dxa"/>
              <w:right w:w="30" w:type="dxa"/>
            </w:tcMar>
          </w:tcPr>
          <w:p w14:paraId="07B9A74B"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0.008</w:t>
            </w:r>
          </w:p>
        </w:tc>
      </w:tr>
      <w:tr w:rsidR="00823E5D" w:rsidRPr="00FE3E2C" w14:paraId="1E87C48B" w14:textId="77777777">
        <w:trPr>
          <w:trHeight w:val="210"/>
          <w:tblCellSpacing w:w="15" w:type="dxa"/>
          <w:jc w:val="center"/>
        </w:trPr>
        <w:tc>
          <w:tcPr>
            <w:tcW w:w="0" w:type="auto"/>
            <w:shd w:val="clear" w:color="auto" w:fill="FFFFFF"/>
            <w:tcMar>
              <w:top w:w="0" w:type="dxa"/>
              <w:left w:w="30" w:type="dxa"/>
              <w:bottom w:w="0" w:type="dxa"/>
              <w:right w:w="30" w:type="dxa"/>
            </w:tcMar>
          </w:tcPr>
          <w:p w14:paraId="3D4CFA11" w14:textId="77777777" w:rsidR="00823E5D" w:rsidRPr="00FE3E2C" w:rsidRDefault="00823E5D" w:rsidP="00FE3E2C">
            <w:pPr>
              <w:autoSpaceDE w:val="0"/>
              <w:autoSpaceDN w:val="0"/>
              <w:spacing w:before="100" w:beforeAutospacing="1" w:after="100" w:afterAutospacing="1" w:line="276" w:lineRule="auto"/>
              <w:jc w:val="right"/>
            </w:pPr>
            <w:r w:rsidRPr="00FE3E2C">
              <w:rPr>
                <w:rFonts w:ascii="Arial" w:hAnsi="Arial" w:cs="Arial"/>
                <w:bCs/>
                <w:color w:val="000000"/>
              </w:rPr>
              <w:t>6</w:t>
            </w:r>
          </w:p>
        </w:tc>
        <w:tc>
          <w:tcPr>
            <w:tcW w:w="0" w:type="auto"/>
            <w:shd w:val="clear" w:color="auto" w:fill="FFFFFF"/>
            <w:tcMar>
              <w:top w:w="0" w:type="dxa"/>
              <w:left w:w="30" w:type="dxa"/>
              <w:bottom w:w="0" w:type="dxa"/>
              <w:right w:w="30" w:type="dxa"/>
            </w:tcMar>
          </w:tcPr>
          <w:p w14:paraId="4D22273B"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20.4</w:t>
            </w:r>
          </w:p>
        </w:tc>
        <w:tc>
          <w:tcPr>
            <w:tcW w:w="0" w:type="auto"/>
            <w:shd w:val="clear" w:color="auto" w:fill="FFFFFF"/>
            <w:tcMar>
              <w:top w:w="0" w:type="dxa"/>
              <w:left w:w="30" w:type="dxa"/>
              <w:bottom w:w="0" w:type="dxa"/>
              <w:right w:w="30" w:type="dxa"/>
            </w:tcMar>
          </w:tcPr>
          <w:p w14:paraId="3247E018"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0.07</w:t>
            </w:r>
          </w:p>
        </w:tc>
        <w:tc>
          <w:tcPr>
            <w:tcW w:w="0" w:type="auto"/>
            <w:shd w:val="clear" w:color="auto" w:fill="FFFFFF"/>
            <w:tcMar>
              <w:top w:w="0" w:type="dxa"/>
              <w:left w:w="30" w:type="dxa"/>
              <w:bottom w:w="0" w:type="dxa"/>
              <w:right w:w="30" w:type="dxa"/>
            </w:tcMar>
          </w:tcPr>
          <w:p w14:paraId="0A6CD482"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0.145</w:t>
            </w:r>
          </w:p>
        </w:tc>
        <w:tc>
          <w:tcPr>
            <w:tcW w:w="0" w:type="auto"/>
            <w:shd w:val="clear" w:color="auto" w:fill="FFFFFF"/>
            <w:tcMar>
              <w:top w:w="0" w:type="dxa"/>
              <w:left w:w="30" w:type="dxa"/>
              <w:bottom w:w="0" w:type="dxa"/>
              <w:right w:w="30" w:type="dxa"/>
            </w:tcMar>
          </w:tcPr>
          <w:p w14:paraId="0C214643"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0.59</w:t>
            </w:r>
          </w:p>
        </w:tc>
        <w:tc>
          <w:tcPr>
            <w:tcW w:w="0" w:type="auto"/>
            <w:shd w:val="clear" w:color="auto" w:fill="FFFFFF"/>
            <w:tcMar>
              <w:top w:w="0" w:type="dxa"/>
              <w:left w:w="30" w:type="dxa"/>
              <w:bottom w:w="0" w:type="dxa"/>
              <w:right w:w="30" w:type="dxa"/>
            </w:tcMar>
          </w:tcPr>
          <w:p w14:paraId="7391334E"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0.97</w:t>
            </w:r>
          </w:p>
        </w:tc>
        <w:tc>
          <w:tcPr>
            <w:tcW w:w="0" w:type="auto"/>
            <w:shd w:val="clear" w:color="auto" w:fill="FFFFFF"/>
            <w:tcMar>
              <w:top w:w="0" w:type="dxa"/>
              <w:left w:w="30" w:type="dxa"/>
              <w:bottom w:w="0" w:type="dxa"/>
              <w:right w:w="30" w:type="dxa"/>
            </w:tcMar>
          </w:tcPr>
          <w:p w14:paraId="246A35AB"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0.086</w:t>
            </w:r>
          </w:p>
        </w:tc>
        <w:tc>
          <w:tcPr>
            <w:tcW w:w="0" w:type="auto"/>
            <w:shd w:val="clear" w:color="auto" w:fill="FFFFFF"/>
            <w:tcMar>
              <w:top w:w="0" w:type="dxa"/>
              <w:left w:w="30" w:type="dxa"/>
              <w:bottom w:w="0" w:type="dxa"/>
              <w:right w:w="30" w:type="dxa"/>
            </w:tcMar>
          </w:tcPr>
          <w:p w14:paraId="19999E31"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0.141</w:t>
            </w:r>
          </w:p>
        </w:tc>
        <w:tc>
          <w:tcPr>
            <w:tcW w:w="0" w:type="auto"/>
            <w:shd w:val="clear" w:color="auto" w:fill="FFFFFF"/>
            <w:tcMar>
              <w:top w:w="0" w:type="dxa"/>
              <w:left w:w="30" w:type="dxa"/>
              <w:bottom w:w="0" w:type="dxa"/>
              <w:right w:w="30" w:type="dxa"/>
            </w:tcMar>
          </w:tcPr>
          <w:p w14:paraId="355672B3"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0.69</w:t>
            </w:r>
          </w:p>
        </w:tc>
        <w:tc>
          <w:tcPr>
            <w:tcW w:w="0" w:type="auto"/>
            <w:shd w:val="clear" w:color="auto" w:fill="FFFFFF"/>
            <w:tcMar>
              <w:top w:w="0" w:type="dxa"/>
              <w:left w:w="30" w:type="dxa"/>
              <w:bottom w:w="0" w:type="dxa"/>
              <w:right w:w="30" w:type="dxa"/>
            </w:tcMar>
          </w:tcPr>
          <w:p w14:paraId="507B2002"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0.038</w:t>
            </w:r>
          </w:p>
        </w:tc>
      </w:tr>
      <w:tr w:rsidR="00823E5D" w:rsidRPr="00FE3E2C" w14:paraId="1923947B" w14:textId="77777777">
        <w:trPr>
          <w:trHeight w:val="210"/>
          <w:tblCellSpacing w:w="15" w:type="dxa"/>
          <w:jc w:val="center"/>
        </w:trPr>
        <w:tc>
          <w:tcPr>
            <w:tcW w:w="0" w:type="auto"/>
            <w:shd w:val="clear" w:color="auto" w:fill="FFFFFF"/>
            <w:tcMar>
              <w:top w:w="0" w:type="dxa"/>
              <w:left w:w="30" w:type="dxa"/>
              <w:bottom w:w="0" w:type="dxa"/>
              <w:right w:w="30" w:type="dxa"/>
            </w:tcMar>
          </w:tcPr>
          <w:p w14:paraId="598BDDD7" w14:textId="77777777" w:rsidR="00823E5D" w:rsidRPr="00FE3E2C" w:rsidRDefault="00823E5D" w:rsidP="00FE3E2C">
            <w:pPr>
              <w:autoSpaceDE w:val="0"/>
              <w:autoSpaceDN w:val="0"/>
              <w:spacing w:before="100" w:beforeAutospacing="1" w:after="100" w:afterAutospacing="1" w:line="276" w:lineRule="auto"/>
              <w:jc w:val="right"/>
            </w:pPr>
            <w:r w:rsidRPr="00FE3E2C">
              <w:rPr>
                <w:rFonts w:ascii="Arial" w:hAnsi="Arial" w:cs="Arial"/>
                <w:bCs/>
                <w:color w:val="000000"/>
              </w:rPr>
              <w:t>7</w:t>
            </w:r>
          </w:p>
        </w:tc>
        <w:tc>
          <w:tcPr>
            <w:tcW w:w="0" w:type="auto"/>
            <w:shd w:val="clear" w:color="auto" w:fill="FFFFFF"/>
            <w:tcMar>
              <w:top w:w="0" w:type="dxa"/>
              <w:left w:w="30" w:type="dxa"/>
              <w:bottom w:w="0" w:type="dxa"/>
              <w:right w:w="30" w:type="dxa"/>
            </w:tcMar>
          </w:tcPr>
          <w:p w14:paraId="65CA56AC"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21.8</w:t>
            </w:r>
          </w:p>
        </w:tc>
        <w:tc>
          <w:tcPr>
            <w:tcW w:w="0" w:type="auto"/>
            <w:shd w:val="clear" w:color="auto" w:fill="FFFFFF"/>
            <w:tcMar>
              <w:top w:w="0" w:type="dxa"/>
              <w:left w:w="30" w:type="dxa"/>
              <w:bottom w:w="0" w:type="dxa"/>
              <w:right w:w="30" w:type="dxa"/>
            </w:tcMar>
          </w:tcPr>
          <w:p w14:paraId="1E6BEEF6"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0.09</w:t>
            </w:r>
          </w:p>
        </w:tc>
        <w:tc>
          <w:tcPr>
            <w:tcW w:w="0" w:type="auto"/>
            <w:shd w:val="clear" w:color="auto" w:fill="FFFFFF"/>
            <w:tcMar>
              <w:top w:w="0" w:type="dxa"/>
              <w:left w:w="30" w:type="dxa"/>
              <w:bottom w:w="0" w:type="dxa"/>
              <w:right w:w="30" w:type="dxa"/>
            </w:tcMar>
          </w:tcPr>
          <w:p w14:paraId="2DBB0B1E"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0.174</w:t>
            </w:r>
          </w:p>
        </w:tc>
        <w:tc>
          <w:tcPr>
            <w:tcW w:w="0" w:type="auto"/>
            <w:shd w:val="clear" w:color="auto" w:fill="FFFFFF"/>
            <w:tcMar>
              <w:top w:w="0" w:type="dxa"/>
              <w:left w:w="30" w:type="dxa"/>
              <w:bottom w:w="0" w:type="dxa"/>
              <w:right w:w="30" w:type="dxa"/>
            </w:tcMar>
          </w:tcPr>
          <w:p w14:paraId="7BA636C4"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0.79</w:t>
            </w:r>
          </w:p>
        </w:tc>
        <w:tc>
          <w:tcPr>
            <w:tcW w:w="0" w:type="auto"/>
            <w:shd w:val="clear" w:color="auto" w:fill="FFFFFF"/>
            <w:tcMar>
              <w:top w:w="0" w:type="dxa"/>
              <w:left w:w="30" w:type="dxa"/>
              <w:bottom w:w="0" w:type="dxa"/>
              <w:right w:w="30" w:type="dxa"/>
            </w:tcMar>
          </w:tcPr>
          <w:p w14:paraId="328FF83D"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0.96</w:t>
            </w:r>
          </w:p>
        </w:tc>
        <w:tc>
          <w:tcPr>
            <w:tcW w:w="0" w:type="auto"/>
            <w:shd w:val="clear" w:color="auto" w:fill="FFFFFF"/>
            <w:tcMar>
              <w:top w:w="0" w:type="dxa"/>
              <w:left w:w="30" w:type="dxa"/>
              <w:bottom w:w="0" w:type="dxa"/>
              <w:right w:w="30" w:type="dxa"/>
            </w:tcMar>
          </w:tcPr>
          <w:p w14:paraId="5832F986"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0.137</w:t>
            </w:r>
          </w:p>
        </w:tc>
        <w:tc>
          <w:tcPr>
            <w:tcW w:w="0" w:type="auto"/>
            <w:shd w:val="clear" w:color="auto" w:fill="FFFFFF"/>
            <w:tcMar>
              <w:top w:w="0" w:type="dxa"/>
              <w:left w:w="30" w:type="dxa"/>
              <w:bottom w:w="0" w:type="dxa"/>
              <w:right w:w="30" w:type="dxa"/>
            </w:tcMar>
          </w:tcPr>
          <w:p w14:paraId="369B80D1"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0.167</w:t>
            </w:r>
          </w:p>
        </w:tc>
        <w:tc>
          <w:tcPr>
            <w:tcW w:w="0" w:type="auto"/>
            <w:shd w:val="clear" w:color="auto" w:fill="FFFFFF"/>
            <w:tcMar>
              <w:top w:w="0" w:type="dxa"/>
              <w:left w:w="30" w:type="dxa"/>
              <w:bottom w:w="0" w:type="dxa"/>
              <w:right w:w="30" w:type="dxa"/>
            </w:tcMar>
          </w:tcPr>
          <w:p w14:paraId="06A9A46D"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0.72</w:t>
            </w:r>
          </w:p>
        </w:tc>
        <w:tc>
          <w:tcPr>
            <w:tcW w:w="0" w:type="auto"/>
            <w:shd w:val="clear" w:color="auto" w:fill="FFFFFF"/>
            <w:tcMar>
              <w:top w:w="0" w:type="dxa"/>
              <w:left w:w="30" w:type="dxa"/>
              <w:bottom w:w="0" w:type="dxa"/>
              <w:right w:w="30" w:type="dxa"/>
            </w:tcMar>
          </w:tcPr>
          <w:p w14:paraId="35159C8D"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0.019</w:t>
            </w:r>
          </w:p>
        </w:tc>
      </w:tr>
      <w:tr w:rsidR="00823E5D" w:rsidRPr="00FE3E2C" w14:paraId="628D651D" w14:textId="77777777">
        <w:trPr>
          <w:trHeight w:val="210"/>
          <w:tblCellSpacing w:w="15" w:type="dxa"/>
          <w:jc w:val="center"/>
        </w:trPr>
        <w:tc>
          <w:tcPr>
            <w:tcW w:w="0" w:type="auto"/>
            <w:shd w:val="clear" w:color="auto" w:fill="FFFFFF"/>
            <w:tcMar>
              <w:top w:w="0" w:type="dxa"/>
              <w:left w:w="30" w:type="dxa"/>
              <w:bottom w:w="0" w:type="dxa"/>
              <w:right w:w="30" w:type="dxa"/>
            </w:tcMar>
          </w:tcPr>
          <w:p w14:paraId="05040290" w14:textId="77777777" w:rsidR="00823E5D" w:rsidRPr="00FE3E2C" w:rsidRDefault="00823E5D" w:rsidP="00FE3E2C">
            <w:pPr>
              <w:autoSpaceDE w:val="0"/>
              <w:autoSpaceDN w:val="0"/>
              <w:spacing w:before="100" w:beforeAutospacing="1" w:after="100" w:afterAutospacing="1" w:line="276" w:lineRule="auto"/>
              <w:jc w:val="right"/>
            </w:pPr>
            <w:r w:rsidRPr="00FE3E2C">
              <w:rPr>
                <w:rFonts w:ascii="Arial" w:hAnsi="Arial" w:cs="Arial"/>
                <w:bCs/>
                <w:color w:val="000000"/>
              </w:rPr>
              <w:t>8</w:t>
            </w:r>
          </w:p>
        </w:tc>
        <w:tc>
          <w:tcPr>
            <w:tcW w:w="0" w:type="auto"/>
            <w:shd w:val="clear" w:color="auto" w:fill="FFFFFF"/>
            <w:tcMar>
              <w:top w:w="0" w:type="dxa"/>
              <w:left w:w="30" w:type="dxa"/>
              <w:bottom w:w="0" w:type="dxa"/>
              <w:right w:w="30" w:type="dxa"/>
            </w:tcMar>
          </w:tcPr>
          <w:p w14:paraId="05E2F38E"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23.8</w:t>
            </w:r>
          </w:p>
        </w:tc>
        <w:tc>
          <w:tcPr>
            <w:tcW w:w="0" w:type="auto"/>
            <w:shd w:val="clear" w:color="auto" w:fill="FFFFFF"/>
            <w:tcMar>
              <w:top w:w="0" w:type="dxa"/>
              <w:left w:w="30" w:type="dxa"/>
              <w:bottom w:w="0" w:type="dxa"/>
              <w:right w:w="30" w:type="dxa"/>
            </w:tcMar>
          </w:tcPr>
          <w:p w14:paraId="6EA64CA0"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0.03</w:t>
            </w:r>
          </w:p>
        </w:tc>
        <w:tc>
          <w:tcPr>
            <w:tcW w:w="0" w:type="auto"/>
            <w:shd w:val="clear" w:color="auto" w:fill="FFFFFF"/>
            <w:tcMar>
              <w:top w:w="0" w:type="dxa"/>
              <w:left w:w="30" w:type="dxa"/>
              <w:bottom w:w="0" w:type="dxa"/>
              <w:right w:w="30" w:type="dxa"/>
            </w:tcMar>
          </w:tcPr>
          <w:p w14:paraId="7CD67F3F"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0.157</w:t>
            </w:r>
          </w:p>
        </w:tc>
        <w:tc>
          <w:tcPr>
            <w:tcW w:w="0" w:type="auto"/>
            <w:shd w:val="clear" w:color="auto" w:fill="FFFFFF"/>
            <w:tcMar>
              <w:top w:w="0" w:type="dxa"/>
              <w:left w:w="30" w:type="dxa"/>
              <w:bottom w:w="0" w:type="dxa"/>
              <w:right w:w="30" w:type="dxa"/>
            </w:tcMar>
          </w:tcPr>
          <w:p w14:paraId="4BDC8E18"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1.00</w:t>
            </w:r>
          </w:p>
        </w:tc>
        <w:tc>
          <w:tcPr>
            <w:tcW w:w="0" w:type="auto"/>
            <w:shd w:val="clear" w:color="auto" w:fill="FFFFFF"/>
            <w:tcMar>
              <w:top w:w="0" w:type="dxa"/>
              <w:left w:w="30" w:type="dxa"/>
              <w:bottom w:w="0" w:type="dxa"/>
              <w:right w:w="30" w:type="dxa"/>
            </w:tcMar>
          </w:tcPr>
          <w:p w14:paraId="67441272"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1.00</w:t>
            </w:r>
          </w:p>
        </w:tc>
        <w:tc>
          <w:tcPr>
            <w:tcW w:w="0" w:type="auto"/>
            <w:shd w:val="clear" w:color="auto" w:fill="FFFFFF"/>
            <w:tcMar>
              <w:top w:w="0" w:type="dxa"/>
              <w:left w:w="30" w:type="dxa"/>
              <w:bottom w:w="0" w:type="dxa"/>
              <w:right w:w="30" w:type="dxa"/>
            </w:tcMar>
          </w:tcPr>
          <w:p w14:paraId="3984968D"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0.157</w:t>
            </w:r>
          </w:p>
        </w:tc>
        <w:tc>
          <w:tcPr>
            <w:tcW w:w="0" w:type="auto"/>
            <w:shd w:val="clear" w:color="auto" w:fill="FFFFFF"/>
            <w:tcMar>
              <w:top w:w="0" w:type="dxa"/>
              <w:left w:w="30" w:type="dxa"/>
              <w:bottom w:w="0" w:type="dxa"/>
              <w:right w:w="30" w:type="dxa"/>
            </w:tcMar>
          </w:tcPr>
          <w:p w14:paraId="2E9071B8"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0.157</w:t>
            </w:r>
          </w:p>
        </w:tc>
        <w:tc>
          <w:tcPr>
            <w:tcW w:w="0" w:type="auto"/>
            <w:shd w:val="clear" w:color="auto" w:fill="FFFFFF"/>
            <w:tcMar>
              <w:top w:w="0" w:type="dxa"/>
              <w:left w:w="30" w:type="dxa"/>
              <w:bottom w:w="0" w:type="dxa"/>
              <w:right w:w="30" w:type="dxa"/>
            </w:tcMar>
          </w:tcPr>
          <w:p w14:paraId="76677928"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0.44</w:t>
            </w:r>
          </w:p>
        </w:tc>
        <w:tc>
          <w:tcPr>
            <w:tcW w:w="0" w:type="auto"/>
            <w:shd w:val="clear" w:color="auto" w:fill="FFFFFF"/>
            <w:tcMar>
              <w:top w:w="0" w:type="dxa"/>
              <w:left w:w="30" w:type="dxa"/>
              <w:bottom w:w="0" w:type="dxa"/>
              <w:right w:w="30" w:type="dxa"/>
            </w:tcMar>
          </w:tcPr>
          <w:p w14:paraId="7A9FE126"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0.009</w:t>
            </w:r>
          </w:p>
        </w:tc>
      </w:tr>
      <w:tr w:rsidR="00823E5D" w:rsidRPr="00FE3E2C" w14:paraId="26914FC5" w14:textId="77777777">
        <w:trPr>
          <w:trHeight w:val="210"/>
          <w:tblCellSpacing w:w="15" w:type="dxa"/>
          <w:jc w:val="center"/>
        </w:trPr>
        <w:tc>
          <w:tcPr>
            <w:tcW w:w="0" w:type="auto"/>
            <w:shd w:val="clear" w:color="auto" w:fill="FFFFFF"/>
            <w:tcMar>
              <w:top w:w="0" w:type="dxa"/>
              <w:left w:w="30" w:type="dxa"/>
              <w:bottom w:w="0" w:type="dxa"/>
              <w:right w:w="30" w:type="dxa"/>
            </w:tcMar>
          </w:tcPr>
          <w:p w14:paraId="656D028B" w14:textId="77777777" w:rsidR="00823E5D" w:rsidRPr="00FE3E2C" w:rsidRDefault="00823E5D" w:rsidP="00FE3E2C">
            <w:pPr>
              <w:autoSpaceDE w:val="0"/>
              <w:autoSpaceDN w:val="0"/>
              <w:spacing w:before="100" w:beforeAutospacing="1" w:after="100" w:afterAutospacing="1" w:line="276" w:lineRule="auto"/>
              <w:jc w:val="right"/>
            </w:pPr>
            <w:r w:rsidRPr="00FE3E2C">
              <w:rPr>
                <w:rFonts w:ascii="Arial" w:hAnsi="Arial" w:cs="Arial"/>
                <w:bCs/>
                <w:color w:val="000000"/>
              </w:rPr>
              <w:lastRenderedPageBreak/>
              <w:t>9</w:t>
            </w:r>
          </w:p>
        </w:tc>
        <w:tc>
          <w:tcPr>
            <w:tcW w:w="0" w:type="auto"/>
            <w:shd w:val="clear" w:color="auto" w:fill="FFFFFF"/>
            <w:tcMar>
              <w:top w:w="0" w:type="dxa"/>
              <w:left w:w="30" w:type="dxa"/>
              <w:bottom w:w="0" w:type="dxa"/>
              <w:right w:w="30" w:type="dxa"/>
            </w:tcMar>
          </w:tcPr>
          <w:p w14:paraId="220775C0"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31.4</w:t>
            </w:r>
          </w:p>
        </w:tc>
        <w:tc>
          <w:tcPr>
            <w:tcW w:w="0" w:type="auto"/>
            <w:shd w:val="clear" w:color="auto" w:fill="FFFFFF"/>
            <w:tcMar>
              <w:top w:w="0" w:type="dxa"/>
              <w:left w:w="30" w:type="dxa"/>
              <w:bottom w:w="0" w:type="dxa"/>
              <w:right w:w="30" w:type="dxa"/>
            </w:tcMar>
          </w:tcPr>
          <w:p w14:paraId="133D05C5"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0.07</w:t>
            </w:r>
          </w:p>
        </w:tc>
        <w:tc>
          <w:tcPr>
            <w:tcW w:w="0" w:type="auto"/>
            <w:shd w:val="clear" w:color="auto" w:fill="FFFFFF"/>
            <w:tcMar>
              <w:top w:w="0" w:type="dxa"/>
              <w:left w:w="30" w:type="dxa"/>
              <w:bottom w:w="0" w:type="dxa"/>
              <w:right w:w="30" w:type="dxa"/>
            </w:tcMar>
          </w:tcPr>
          <w:p w14:paraId="271300D4"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0.138</w:t>
            </w:r>
          </w:p>
        </w:tc>
        <w:tc>
          <w:tcPr>
            <w:tcW w:w="0" w:type="auto"/>
            <w:shd w:val="clear" w:color="auto" w:fill="FFFFFF"/>
            <w:tcMar>
              <w:top w:w="0" w:type="dxa"/>
              <w:left w:w="30" w:type="dxa"/>
              <w:bottom w:w="0" w:type="dxa"/>
              <w:right w:w="30" w:type="dxa"/>
            </w:tcMar>
          </w:tcPr>
          <w:p w14:paraId="1F138994"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0.83</w:t>
            </w:r>
          </w:p>
        </w:tc>
        <w:tc>
          <w:tcPr>
            <w:tcW w:w="0" w:type="auto"/>
            <w:shd w:val="clear" w:color="auto" w:fill="FFFFFF"/>
            <w:tcMar>
              <w:top w:w="0" w:type="dxa"/>
              <w:left w:w="30" w:type="dxa"/>
              <w:bottom w:w="0" w:type="dxa"/>
              <w:right w:w="30" w:type="dxa"/>
            </w:tcMar>
          </w:tcPr>
          <w:p w14:paraId="4B91ADF5"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0.98</w:t>
            </w:r>
          </w:p>
        </w:tc>
        <w:tc>
          <w:tcPr>
            <w:tcW w:w="0" w:type="auto"/>
            <w:shd w:val="clear" w:color="auto" w:fill="FFFFFF"/>
            <w:tcMar>
              <w:top w:w="0" w:type="dxa"/>
              <w:left w:w="30" w:type="dxa"/>
              <w:bottom w:w="0" w:type="dxa"/>
              <w:right w:w="30" w:type="dxa"/>
            </w:tcMar>
          </w:tcPr>
          <w:p w14:paraId="2ECB7CE0"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0.115</w:t>
            </w:r>
          </w:p>
        </w:tc>
        <w:tc>
          <w:tcPr>
            <w:tcW w:w="0" w:type="auto"/>
            <w:shd w:val="clear" w:color="auto" w:fill="FFFFFF"/>
            <w:tcMar>
              <w:top w:w="0" w:type="dxa"/>
              <w:left w:w="30" w:type="dxa"/>
              <w:bottom w:w="0" w:type="dxa"/>
              <w:right w:w="30" w:type="dxa"/>
            </w:tcMar>
          </w:tcPr>
          <w:p w14:paraId="4F82744B"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0.135</w:t>
            </w:r>
          </w:p>
        </w:tc>
        <w:tc>
          <w:tcPr>
            <w:tcW w:w="0" w:type="auto"/>
            <w:shd w:val="clear" w:color="auto" w:fill="FFFFFF"/>
            <w:tcMar>
              <w:top w:w="0" w:type="dxa"/>
              <w:left w:w="30" w:type="dxa"/>
              <w:bottom w:w="0" w:type="dxa"/>
              <w:right w:w="30" w:type="dxa"/>
            </w:tcMar>
          </w:tcPr>
          <w:p w14:paraId="5AB42FB2"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0.71</w:t>
            </w:r>
          </w:p>
        </w:tc>
        <w:tc>
          <w:tcPr>
            <w:tcW w:w="0" w:type="auto"/>
            <w:shd w:val="clear" w:color="auto" w:fill="FFFFFF"/>
            <w:tcMar>
              <w:top w:w="0" w:type="dxa"/>
              <w:left w:w="30" w:type="dxa"/>
              <w:bottom w:w="0" w:type="dxa"/>
              <w:right w:w="30" w:type="dxa"/>
            </w:tcMar>
          </w:tcPr>
          <w:p w14:paraId="4D96A052"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0.017</w:t>
            </w:r>
          </w:p>
        </w:tc>
      </w:tr>
      <w:tr w:rsidR="00823E5D" w:rsidRPr="00FE3E2C" w14:paraId="3181322C" w14:textId="77777777">
        <w:trPr>
          <w:trHeight w:val="210"/>
          <w:tblCellSpacing w:w="15" w:type="dxa"/>
          <w:jc w:val="center"/>
        </w:trPr>
        <w:tc>
          <w:tcPr>
            <w:tcW w:w="0" w:type="auto"/>
            <w:shd w:val="clear" w:color="auto" w:fill="FFFFFF"/>
            <w:tcMar>
              <w:top w:w="0" w:type="dxa"/>
              <w:left w:w="30" w:type="dxa"/>
              <w:bottom w:w="0" w:type="dxa"/>
              <w:right w:w="30" w:type="dxa"/>
            </w:tcMar>
          </w:tcPr>
          <w:p w14:paraId="2FADF436" w14:textId="77777777" w:rsidR="00823E5D" w:rsidRPr="00FE3E2C" w:rsidRDefault="00823E5D" w:rsidP="00FE3E2C">
            <w:pPr>
              <w:autoSpaceDE w:val="0"/>
              <w:autoSpaceDN w:val="0"/>
              <w:spacing w:before="100" w:beforeAutospacing="1" w:after="100" w:afterAutospacing="1" w:line="276" w:lineRule="auto"/>
            </w:pPr>
            <w:r w:rsidRPr="00FE3E2C">
              <w:rPr>
                <w:rFonts w:ascii="Arial" w:hAnsi="Arial" w:cs="Arial"/>
                <w:bCs/>
                <w:color w:val="000000"/>
              </w:rPr>
              <w:t>Average</w:t>
            </w:r>
          </w:p>
        </w:tc>
        <w:tc>
          <w:tcPr>
            <w:tcW w:w="0" w:type="auto"/>
            <w:shd w:val="clear" w:color="auto" w:fill="FFFFFF"/>
            <w:tcMar>
              <w:top w:w="0" w:type="dxa"/>
              <w:left w:w="30" w:type="dxa"/>
              <w:bottom w:w="0" w:type="dxa"/>
              <w:right w:w="30" w:type="dxa"/>
            </w:tcMar>
          </w:tcPr>
          <w:p w14:paraId="3F7E8592"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24.4</w:t>
            </w:r>
          </w:p>
        </w:tc>
        <w:tc>
          <w:tcPr>
            <w:tcW w:w="0" w:type="auto"/>
            <w:shd w:val="clear" w:color="auto" w:fill="FFFFFF"/>
            <w:tcMar>
              <w:top w:w="0" w:type="dxa"/>
              <w:left w:w="30" w:type="dxa"/>
              <w:bottom w:w="0" w:type="dxa"/>
              <w:right w:w="30" w:type="dxa"/>
            </w:tcMar>
          </w:tcPr>
          <w:p w14:paraId="73D71697"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0.07</w:t>
            </w:r>
          </w:p>
        </w:tc>
        <w:tc>
          <w:tcPr>
            <w:tcW w:w="0" w:type="auto"/>
            <w:shd w:val="clear" w:color="auto" w:fill="FFFFFF"/>
            <w:tcMar>
              <w:top w:w="0" w:type="dxa"/>
              <w:left w:w="30" w:type="dxa"/>
              <w:bottom w:w="0" w:type="dxa"/>
              <w:right w:w="30" w:type="dxa"/>
            </w:tcMar>
          </w:tcPr>
          <w:p w14:paraId="1D8A95EB"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0.154</w:t>
            </w:r>
          </w:p>
        </w:tc>
        <w:tc>
          <w:tcPr>
            <w:tcW w:w="0" w:type="auto"/>
            <w:shd w:val="clear" w:color="auto" w:fill="FFFFFF"/>
            <w:tcMar>
              <w:top w:w="0" w:type="dxa"/>
              <w:left w:w="30" w:type="dxa"/>
              <w:bottom w:w="0" w:type="dxa"/>
              <w:right w:w="30" w:type="dxa"/>
            </w:tcMar>
          </w:tcPr>
          <w:p w14:paraId="68A623F9"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0.80</w:t>
            </w:r>
          </w:p>
        </w:tc>
        <w:tc>
          <w:tcPr>
            <w:tcW w:w="0" w:type="auto"/>
            <w:shd w:val="clear" w:color="auto" w:fill="FFFFFF"/>
            <w:tcMar>
              <w:top w:w="0" w:type="dxa"/>
              <w:left w:w="30" w:type="dxa"/>
              <w:bottom w:w="0" w:type="dxa"/>
              <w:right w:w="30" w:type="dxa"/>
            </w:tcMar>
          </w:tcPr>
          <w:p w14:paraId="48BEEBDC"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0.98</w:t>
            </w:r>
          </w:p>
        </w:tc>
        <w:tc>
          <w:tcPr>
            <w:tcW w:w="0" w:type="auto"/>
            <w:shd w:val="clear" w:color="auto" w:fill="FFFFFF"/>
            <w:tcMar>
              <w:top w:w="0" w:type="dxa"/>
              <w:left w:w="30" w:type="dxa"/>
              <w:bottom w:w="0" w:type="dxa"/>
              <w:right w:w="30" w:type="dxa"/>
            </w:tcMar>
          </w:tcPr>
          <w:p w14:paraId="5F6B400B"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0.124</w:t>
            </w:r>
          </w:p>
        </w:tc>
        <w:tc>
          <w:tcPr>
            <w:tcW w:w="0" w:type="auto"/>
            <w:shd w:val="clear" w:color="auto" w:fill="FFFFFF"/>
            <w:tcMar>
              <w:top w:w="0" w:type="dxa"/>
              <w:left w:w="30" w:type="dxa"/>
              <w:bottom w:w="0" w:type="dxa"/>
              <w:right w:w="30" w:type="dxa"/>
            </w:tcMar>
          </w:tcPr>
          <w:p w14:paraId="3084E021"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0.150</w:t>
            </w:r>
          </w:p>
        </w:tc>
        <w:tc>
          <w:tcPr>
            <w:tcW w:w="0" w:type="auto"/>
            <w:shd w:val="clear" w:color="auto" w:fill="FFFFFF"/>
            <w:tcMar>
              <w:top w:w="0" w:type="dxa"/>
              <w:left w:w="30" w:type="dxa"/>
              <w:bottom w:w="0" w:type="dxa"/>
              <w:right w:w="30" w:type="dxa"/>
            </w:tcMar>
          </w:tcPr>
          <w:p w14:paraId="74972EAC"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0.64</w:t>
            </w:r>
          </w:p>
        </w:tc>
        <w:tc>
          <w:tcPr>
            <w:tcW w:w="0" w:type="auto"/>
            <w:shd w:val="clear" w:color="auto" w:fill="FFFFFF"/>
            <w:tcMar>
              <w:top w:w="0" w:type="dxa"/>
              <w:left w:w="30" w:type="dxa"/>
              <w:bottom w:w="0" w:type="dxa"/>
              <w:right w:w="30" w:type="dxa"/>
            </w:tcMar>
          </w:tcPr>
          <w:p w14:paraId="66E670C5" w14:textId="77777777" w:rsidR="00823E5D" w:rsidRPr="00FE3E2C" w:rsidRDefault="00823E5D" w:rsidP="00FE3E2C">
            <w:pPr>
              <w:autoSpaceDE w:val="0"/>
              <w:autoSpaceDN w:val="0"/>
              <w:spacing w:before="100" w:beforeAutospacing="1" w:after="100" w:afterAutospacing="1" w:line="276" w:lineRule="auto"/>
              <w:jc w:val="center"/>
            </w:pPr>
            <w:r w:rsidRPr="00FE3E2C">
              <w:rPr>
                <w:rFonts w:ascii="Arial" w:hAnsi="Arial" w:cs="Arial"/>
                <w:bCs/>
                <w:color w:val="000000"/>
              </w:rPr>
              <w:t>0.021</w:t>
            </w:r>
          </w:p>
        </w:tc>
      </w:tr>
    </w:tbl>
    <w:p w14:paraId="446E9E72" w14:textId="77777777" w:rsidR="00823E5D" w:rsidRPr="00FE3E2C" w:rsidRDefault="00A51316" w:rsidP="00FE3E2C">
      <w:pPr>
        <w:spacing w:before="100" w:beforeAutospacing="1" w:after="100" w:afterAutospacing="1" w:line="276" w:lineRule="auto"/>
        <w:rPr>
          <w:rFonts w:ascii="Arial" w:hAnsi="Arial" w:cs="Arial"/>
          <w:bCs/>
        </w:rPr>
      </w:pPr>
      <w:r w:rsidRPr="00FE3E2C">
        <w:rPr>
          <w:noProof/>
          <w:lang w:val="en-CA" w:eastAsia="en-CA"/>
        </w:rPr>
        <w:drawing>
          <wp:anchor distT="0" distB="0" distL="0" distR="0" simplePos="0" relativeHeight="251659264" behindDoc="0" locked="0" layoutInCell="1" allowOverlap="0" wp14:anchorId="163572A2" wp14:editId="1B7B6262">
            <wp:simplePos x="0" y="0"/>
            <wp:positionH relativeFrom="column">
              <wp:posOffset>4351020</wp:posOffset>
            </wp:positionH>
            <wp:positionV relativeFrom="line">
              <wp:posOffset>229870</wp:posOffset>
            </wp:positionV>
            <wp:extent cx="2095500" cy="1981200"/>
            <wp:effectExtent l="19050" t="19050" r="19050" b="19050"/>
            <wp:wrapSquare wrapText="bothSides"/>
            <wp:docPr id="49" name="Picture 49" descr="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c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98120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23E5D" w:rsidRPr="00FE3E2C">
        <w:rPr>
          <w:rFonts w:ascii="Arial" w:hAnsi="Arial" w:cs="Arial"/>
          <w:bCs/>
        </w:rPr>
        <w:t>In higher permeability rock, the cap pressure curve quickly reaches an asymptote and the minimum saturation usually represents the actual water saturation in an undepleted hydrocarbon reservoir above the transition zone. In tight rock, the asymptote is seldom reached, so we pick saturation values from the cap pressure curves at two heights (or equivalent) Pc values) to represent two extremes of  reservoir condition.</w:t>
      </w:r>
    </w:p>
    <w:p w14:paraId="62C15ACC" w14:textId="77777777" w:rsidR="00823E5D" w:rsidRPr="00FE3E2C" w:rsidRDefault="00823E5D" w:rsidP="00FE3E2C">
      <w:pPr>
        <w:spacing w:before="100" w:beforeAutospacing="1" w:after="100" w:afterAutospacing="1" w:line="276" w:lineRule="auto"/>
        <w:jc w:val="right"/>
        <w:rPr>
          <w:i/>
          <w:iCs/>
        </w:rPr>
      </w:pPr>
      <w:r w:rsidRPr="00FE3E2C">
        <w:rPr>
          <w:rFonts w:ascii="Arial" w:hAnsi="Arial" w:cs="Arial"/>
          <w:bCs/>
          <w:i/>
          <w:iCs/>
        </w:rPr>
        <w:t xml:space="preserve">Figure 8: Schematic diagram of cap pressure curves in high quality reservoir (A), medium quality (B), and poor  quality (C) </w:t>
      </w:r>
      <w:r w:rsidRPr="00FE3E2C">
        <w:rPr>
          <w:rFonts w:ascii="Arial" w:hAnsi="Arial" w:cs="Arial"/>
          <w:bCs/>
          <w:i/>
          <w:iCs/>
        </w:rPr>
        <w:sym w:font="Wingdings" w:char="F0E8"/>
      </w:r>
    </w:p>
    <w:p w14:paraId="2EC526B7" w14:textId="77777777" w:rsidR="00823E5D" w:rsidRPr="00FE3E2C" w:rsidRDefault="00823E5D" w:rsidP="00FE3E2C">
      <w:pPr>
        <w:spacing w:before="100" w:beforeAutospacing="1" w:after="100" w:afterAutospacing="1" w:line="276" w:lineRule="auto"/>
      </w:pPr>
      <w:r w:rsidRPr="00FE3E2C">
        <w:rPr>
          <w:rFonts w:ascii="Arial" w:hAnsi="Arial" w:cs="Arial"/>
          <w:bCs/>
        </w:rPr>
        <w:t>Only sample 1 in the above table behaves close to asymptotically, as in curve A in the schematic illustration at the right. All other samples behave like curves B and C (or worse). The real cap pressure curves for samples 1 and 2 are shown below.</w:t>
      </w:r>
    </w:p>
    <w:p w14:paraId="5C6B15D1" w14:textId="77777777" w:rsidR="00823E5D" w:rsidRPr="00FE3E2C" w:rsidRDefault="00823E5D" w:rsidP="00FE3E2C">
      <w:pPr>
        <w:spacing w:before="100" w:beforeAutospacing="1" w:after="100" w:afterAutospacing="1" w:line="276" w:lineRule="auto"/>
      </w:pPr>
      <w:r w:rsidRPr="00FE3E2C">
        <w:rPr>
          <w:rFonts w:ascii="Arial" w:hAnsi="Arial" w:cs="Arial"/>
          <w:bCs/>
        </w:rPr>
        <w:t>The summary table shows wetting phase saturation selected by observation of  the cap pressure graphs at two different heights above free water, namely 100 meters and 425 meters in this example. In this case, the 100 meter data gives water saturations that we commonly see in petrophysical analysis of well logs in hydrocarbon bearing Bakken reservoirs in Saskatchewan. This is a pragmatic way to indicate the water saturation to be expected when a Bakken reservoir is at or near irreducible water saturation. The data for the 450 meter case is considerably lower and probably does not represent reservoir conditions in this region of the Williston Basin.</w:t>
      </w:r>
    </w:p>
    <w:p w14:paraId="1330DCE1" w14:textId="77777777" w:rsidR="00823E5D" w:rsidRPr="00FE3E2C" w:rsidRDefault="00A51316" w:rsidP="00FE3E2C">
      <w:pPr>
        <w:spacing w:before="100" w:beforeAutospacing="1" w:after="100" w:afterAutospacing="1" w:line="276" w:lineRule="auto"/>
        <w:jc w:val="center"/>
      </w:pPr>
      <w:r w:rsidRPr="00FE3E2C">
        <w:rPr>
          <w:noProof/>
          <w:lang w:val="en-CA" w:eastAsia="en-CA"/>
        </w:rPr>
        <w:lastRenderedPageBreak/>
        <w:drawing>
          <wp:inline distT="0" distB="0" distL="0" distR="0" wp14:anchorId="6779FF8C" wp14:editId="4E4D95AB">
            <wp:extent cx="3048000" cy="2931160"/>
            <wp:effectExtent l="38100" t="38100" r="38100" b="40640"/>
            <wp:docPr id="6" name="Picture 6" descr="pc-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2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931160"/>
                    </a:xfrm>
                    <a:prstGeom prst="rect">
                      <a:avLst/>
                    </a:prstGeom>
                    <a:noFill/>
                    <a:ln w="28575" cmpd="sng">
                      <a:solidFill>
                        <a:srgbClr val="000000"/>
                      </a:solidFill>
                      <a:miter lim="800000"/>
                      <a:headEnd/>
                      <a:tailEnd/>
                    </a:ln>
                    <a:effectLst/>
                  </pic:spPr>
                </pic:pic>
              </a:graphicData>
            </a:graphic>
          </wp:inline>
        </w:drawing>
      </w:r>
      <w:r w:rsidR="00823E5D" w:rsidRPr="00FE3E2C">
        <w:t xml:space="preserve"> </w:t>
      </w:r>
      <w:r w:rsidRPr="00FE3E2C">
        <w:rPr>
          <w:rFonts w:ascii="Arial" w:hAnsi="Arial" w:cs="Arial"/>
          <w:bCs/>
          <w:i/>
          <w:iCs/>
          <w:noProof/>
          <w:lang w:val="en-CA" w:eastAsia="en-CA"/>
        </w:rPr>
        <w:drawing>
          <wp:inline distT="0" distB="0" distL="0" distR="0" wp14:anchorId="1173ABF9" wp14:editId="1D9923AF">
            <wp:extent cx="3048000" cy="2949575"/>
            <wp:effectExtent l="38100" t="38100" r="38100" b="41275"/>
            <wp:docPr id="7" name="Picture 7" descr="pc-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4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949575"/>
                    </a:xfrm>
                    <a:prstGeom prst="rect">
                      <a:avLst/>
                    </a:prstGeom>
                    <a:noFill/>
                    <a:ln w="28575" cmpd="sng">
                      <a:solidFill>
                        <a:srgbClr val="000000"/>
                      </a:solidFill>
                      <a:miter lim="800000"/>
                      <a:headEnd/>
                      <a:tailEnd/>
                    </a:ln>
                    <a:effectLst/>
                  </pic:spPr>
                </pic:pic>
              </a:graphicData>
            </a:graphic>
          </wp:inline>
        </w:drawing>
      </w:r>
      <w:r w:rsidR="00823E5D" w:rsidRPr="00FE3E2C">
        <w:rPr>
          <w:rFonts w:ascii="Arial" w:hAnsi="Arial" w:cs="Arial"/>
          <w:bCs/>
          <w:i/>
          <w:iCs/>
        </w:rPr>
        <w:br/>
      </w:r>
      <w:r w:rsidR="000B3FAA" w:rsidRPr="00FE3E2C">
        <w:rPr>
          <w:rFonts w:ascii="Arial" w:hAnsi="Arial" w:cs="Arial"/>
          <w:bCs/>
          <w:i/>
          <w:iCs/>
        </w:rPr>
        <w:t xml:space="preserve">Figure 9: </w:t>
      </w:r>
      <w:r w:rsidR="00823E5D" w:rsidRPr="00FE3E2C">
        <w:rPr>
          <w:rFonts w:ascii="Arial" w:hAnsi="Arial" w:cs="Arial"/>
          <w:bCs/>
          <w:i/>
          <w:iCs/>
        </w:rPr>
        <w:t>Examples of capillary pressure curves in good quality rock (sample 1 – left) and poorer quality rock (sample 2 – right)</w:t>
      </w:r>
    </w:p>
    <w:p w14:paraId="54965112" w14:textId="77777777" w:rsidR="00823E5D" w:rsidRPr="00FE3E2C" w:rsidRDefault="00823E5D" w:rsidP="00FE3E2C">
      <w:pPr>
        <w:spacing w:before="100" w:beforeAutospacing="1" w:after="100" w:afterAutospacing="1" w:line="276" w:lineRule="auto"/>
      </w:pPr>
      <w:r w:rsidRPr="00FE3E2C">
        <w:rPr>
          <w:rFonts w:ascii="Arial" w:hAnsi="Arial" w:cs="Arial"/>
          <w:bCs/>
        </w:rPr>
        <w:t>Two other columns in the table are calculated from the primary measurements.</w:t>
      </w:r>
    </w:p>
    <w:p w14:paraId="25B0F542" w14:textId="77777777" w:rsidR="00823E5D" w:rsidRPr="00FE3E2C" w:rsidRDefault="00823E5D" w:rsidP="00FE3E2C">
      <w:pPr>
        <w:spacing w:before="100" w:beforeAutospacing="1" w:after="100" w:afterAutospacing="1" w:line="276" w:lineRule="auto"/>
      </w:pPr>
      <w:r w:rsidRPr="00FE3E2C">
        <w:rPr>
          <w:rFonts w:ascii="Arial" w:hAnsi="Arial" w:cs="Arial"/>
          <w:bCs/>
        </w:rPr>
        <w:t>The first is the product of porosity times saturation, PHI*SW, often called Buckle’s Number. It is considered to be a measure of pore geometry or grain size. Higher values are finer grained rocks. These values vary considerably in the Bakken, between low and medium values, indicating the laminated nature of the silt / sand reservoir. The values in the Torquay are uniformly high, indicating that the reservoir is poor quality in all samples.</w:t>
      </w:r>
    </w:p>
    <w:p w14:paraId="10BDB707" w14:textId="77777777" w:rsidR="00CB5F58" w:rsidRPr="00FE3E2C" w:rsidRDefault="00823E5D" w:rsidP="00FE3E2C">
      <w:pPr>
        <w:spacing w:before="100" w:beforeAutospacing="1" w:after="100" w:afterAutospacing="1" w:line="276" w:lineRule="auto"/>
        <w:rPr>
          <w:rFonts w:ascii="Arial" w:hAnsi="Arial" w:cs="Arial"/>
          <w:bCs/>
        </w:rPr>
      </w:pPr>
      <w:r w:rsidRPr="00FE3E2C">
        <w:rPr>
          <w:rFonts w:ascii="Arial" w:hAnsi="Arial" w:cs="Arial"/>
          <w:bCs/>
        </w:rPr>
        <w:t>The second is the square root of permeability divided by porosity, sqrt(</w:t>
      </w:r>
      <w:proofErr w:type="spellStart"/>
      <w:r w:rsidRPr="00FE3E2C">
        <w:rPr>
          <w:rFonts w:ascii="Arial" w:hAnsi="Arial" w:cs="Arial"/>
          <w:bCs/>
        </w:rPr>
        <w:t>Kmax</w:t>
      </w:r>
      <w:proofErr w:type="spellEnd"/>
      <w:r w:rsidRPr="00FE3E2C">
        <w:rPr>
          <w:rFonts w:ascii="Arial" w:hAnsi="Arial" w:cs="Arial"/>
          <w:bCs/>
        </w:rPr>
        <w:t xml:space="preserve">/PHIe), which is another measure of reservoir quality, directly proportional to pore throat radius and Pc. High numbers represent good connectivity and low values show poor connectivity. Again, the Bakken shows the variations due to laminations, and the Torquay shows low values and unattractive reservoir quality. </w:t>
      </w:r>
    </w:p>
    <w:p w14:paraId="5923370C" w14:textId="77777777" w:rsidR="00823E5D" w:rsidRPr="00FE3E2C" w:rsidRDefault="00A51316" w:rsidP="00FE3E2C">
      <w:pPr>
        <w:spacing w:before="100" w:beforeAutospacing="1" w:after="100" w:afterAutospacing="1" w:line="276" w:lineRule="auto"/>
        <w:jc w:val="center"/>
      </w:pPr>
      <w:r w:rsidRPr="00FE3E2C">
        <w:rPr>
          <w:rFonts w:ascii="Arial" w:hAnsi="Arial" w:cs="Arial"/>
          <w:bCs/>
          <w:noProof/>
          <w:lang w:val="en-CA" w:eastAsia="en-CA"/>
        </w:rPr>
        <w:lastRenderedPageBreak/>
        <w:drawing>
          <wp:inline distT="0" distB="0" distL="0" distR="0" wp14:anchorId="16FABB35" wp14:editId="2BEC906F">
            <wp:extent cx="2976245" cy="3128645"/>
            <wp:effectExtent l="38100" t="38100" r="33655" b="33655"/>
            <wp:docPr id="8" name="Picture 8" descr="p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6245" cy="3128645"/>
                    </a:xfrm>
                    <a:prstGeom prst="rect">
                      <a:avLst/>
                    </a:prstGeom>
                    <a:noFill/>
                    <a:ln w="28575" cmpd="sng">
                      <a:solidFill>
                        <a:srgbClr val="000000"/>
                      </a:solidFill>
                      <a:miter lim="800000"/>
                      <a:headEnd/>
                      <a:tailEnd/>
                    </a:ln>
                    <a:effectLst/>
                  </pic:spPr>
                </pic:pic>
              </a:graphicData>
            </a:graphic>
          </wp:inline>
        </w:drawing>
      </w:r>
      <w:r w:rsidR="00823E5D" w:rsidRPr="00FE3E2C">
        <w:rPr>
          <w:rFonts w:ascii="Arial" w:hAnsi="Arial" w:cs="Arial"/>
          <w:bCs/>
        </w:rPr>
        <w:t xml:space="preserve"> </w:t>
      </w:r>
      <w:r w:rsidRPr="00FE3E2C">
        <w:rPr>
          <w:rFonts w:ascii="Arial" w:hAnsi="Arial" w:cs="Arial"/>
          <w:bCs/>
          <w:noProof/>
          <w:lang w:val="en-CA" w:eastAsia="en-CA"/>
        </w:rPr>
        <w:drawing>
          <wp:inline distT="0" distB="0" distL="0" distR="0" wp14:anchorId="2D6DC44C" wp14:editId="67106682">
            <wp:extent cx="2940685" cy="3128645"/>
            <wp:effectExtent l="38100" t="38100" r="31115" b="33655"/>
            <wp:docPr id="9" name="Picture 9" descr="p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c-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0685" cy="3128645"/>
                    </a:xfrm>
                    <a:prstGeom prst="rect">
                      <a:avLst/>
                    </a:prstGeom>
                    <a:noFill/>
                    <a:ln w="28575" cmpd="sng">
                      <a:solidFill>
                        <a:srgbClr val="000000"/>
                      </a:solidFill>
                      <a:miter lim="800000"/>
                      <a:headEnd/>
                      <a:tailEnd/>
                    </a:ln>
                    <a:effectLst/>
                  </pic:spPr>
                </pic:pic>
              </a:graphicData>
            </a:graphic>
          </wp:inline>
        </w:drawing>
      </w:r>
      <w:r w:rsidR="00823E5D" w:rsidRPr="00FE3E2C">
        <w:rPr>
          <w:rFonts w:ascii="Arial" w:hAnsi="Arial" w:cs="Arial"/>
          <w:bCs/>
        </w:rPr>
        <w:br/>
      </w:r>
      <w:r w:rsidR="00C95845" w:rsidRPr="00FE3E2C">
        <w:rPr>
          <w:rFonts w:ascii="Arial" w:hAnsi="Arial" w:cs="Arial"/>
          <w:bCs/>
        </w:rPr>
        <w:t xml:space="preserve">Figure 10: </w:t>
      </w:r>
      <w:r w:rsidR="00823E5D" w:rsidRPr="00FE3E2C">
        <w:rPr>
          <w:rFonts w:ascii="Arial" w:hAnsi="Arial" w:cs="Arial"/>
          <w:bCs/>
          <w:i/>
          <w:iCs/>
        </w:rPr>
        <w:t>Examples of pore throat radius distribution in good quality rock (sample 1 – left) and</w:t>
      </w:r>
      <w:r w:rsidR="00C95845" w:rsidRPr="00FE3E2C">
        <w:rPr>
          <w:rFonts w:ascii="Arial" w:hAnsi="Arial" w:cs="Arial"/>
          <w:bCs/>
          <w:i/>
          <w:iCs/>
        </w:rPr>
        <w:br/>
      </w:r>
      <w:r w:rsidR="00823E5D" w:rsidRPr="00FE3E2C">
        <w:rPr>
          <w:rFonts w:ascii="Arial" w:hAnsi="Arial" w:cs="Arial"/>
          <w:bCs/>
          <w:i/>
          <w:iCs/>
        </w:rPr>
        <w:t xml:space="preserve"> poorer quality rock (sample 2 – right)</w:t>
      </w:r>
    </w:p>
    <w:p w14:paraId="3703A758" w14:textId="4D712FC1" w:rsidR="00CB5F58" w:rsidRPr="00FE3E2C" w:rsidRDefault="00CB5F58" w:rsidP="00FE3E2C">
      <w:pPr>
        <w:spacing w:before="100" w:beforeAutospacing="1" w:after="100" w:afterAutospacing="1" w:line="276" w:lineRule="auto"/>
        <w:rPr>
          <w:rFonts w:ascii="Arial" w:hAnsi="Arial" w:cs="Arial"/>
          <w:bCs/>
        </w:rPr>
      </w:pPr>
      <w:r w:rsidRPr="00FE3E2C">
        <w:rPr>
          <w:rFonts w:ascii="Arial" w:hAnsi="Arial" w:cs="Arial"/>
          <w:bCs/>
        </w:rPr>
        <w:t xml:space="preserve">Pore throat radius distributions and average values are also useful reservoir quality indicators. A comparison of good and poor quality samples are shown in Figure 10. </w:t>
      </w:r>
    </w:p>
    <w:p w14:paraId="2237A899" w14:textId="77777777" w:rsidR="00823E5D" w:rsidRPr="00FE3E2C" w:rsidRDefault="00823E5D" w:rsidP="00FE3E2C">
      <w:pPr>
        <w:spacing w:before="100" w:beforeAutospacing="1" w:after="100" w:afterAutospacing="1" w:line="276" w:lineRule="auto"/>
      </w:pPr>
      <w:r w:rsidRPr="00FE3E2C">
        <w:rPr>
          <w:rFonts w:ascii="Arial" w:hAnsi="Arial" w:cs="Arial"/>
          <w:bCs/>
        </w:rPr>
        <w:t xml:space="preserve">By comparing cap pressure and pore throat distribution graphs from each sample with the quality indicator values in the summary table, it becomes more evident as to which parameters in a petrophysical analysis might be the best indicator of reservoir quality. Since both Buckle’s Number and the </w:t>
      </w:r>
      <w:proofErr w:type="spellStart"/>
      <w:r w:rsidRPr="00FE3E2C">
        <w:rPr>
          <w:rFonts w:ascii="Arial" w:hAnsi="Arial" w:cs="Arial"/>
          <w:bCs/>
        </w:rPr>
        <w:t>Kmax</w:t>
      </w:r>
      <w:proofErr w:type="spellEnd"/>
      <w:r w:rsidRPr="00FE3E2C">
        <w:rPr>
          <w:rFonts w:ascii="Arial" w:hAnsi="Arial" w:cs="Arial"/>
          <w:bCs/>
        </w:rPr>
        <w:t xml:space="preserve">/PHIe parameter can be determined from logs, it has been relatively common to assess reservoir quality from these parameters as a proxy for capillary pressure and pore throat measurements. </w:t>
      </w:r>
    </w:p>
    <w:p w14:paraId="4C4BAFF3" w14:textId="77777777" w:rsidR="00823E5D" w:rsidRPr="00FE3E2C" w:rsidRDefault="00823E5D" w:rsidP="00FE3E2C">
      <w:pPr>
        <w:spacing w:before="100" w:beforeAutospacing="1" w:after="100" w:afterAutospacing="1" w:line="276" w:lineRule="auto"/>
      </w:pPr>
      <w:r w:rsidRPr="00FE3E2C">
        <w:rPr>
          <w:rFonts w:ascii="Arial" w:hAnsi="Arial" w:cs="Arial"/>
          <w:bCs/>
        </w:rPr>
        <w:t>However, in thinly laminated reservoirs like the Bakken, this is not always possible since the logging tools average 1 meter of rock. This means we cannot see the internal variations of rock quality evident in the core data.</w:t>
      </w:r>
      <w:r w:rsidRPr="00FE3E2C">
        <w:rPr>
          <w:rFonts w:ascii="Arial" w:hAnsi="Arial" w:cs="Arial"/>
          <w:bCs/>
        </w:rPr>
        <w:br/>
        <w:t> </w:t>
      </w:r>
    </w:p>
    <w:p w14:paraId="0EA9EA3A" w14:textId="77777777" w:rsidR="00BB7EE0" w:rsidRPr="00FE3E2C" w:rsidRDefault="00BB7EE0" w:rsidP="00FE3E2C">
      <w:pPr>
        <w:pStyle w:val="NormalWeb"/>
        <w:spacing w:line="276" w:lineRule="auto"/>
      </w:pPr>
      <w:r w:rsidRPr="00FE3E2C">
        <w:rPr>
          <w:rStyle w:val="Strong"/>
          <w:rFonts w:ascii="Arial" w:hAnsi="Arial" w:cs="Arial"/>
          <w:b w:val="0"/>
          <w:caps/>
          <w:color w:val="000000"/>
        </w:rPr>
        <w:lastRenderedPageBreak/>
        <w:t>Bakken Examples</w:t>
      </w:r>
      <w:r w:rsidRPr="00FE3E2C">
        <w:br/>
      </w:r>
      <w:r w:rsidR="00A51316" w:rsidRPr="00FE3E2C">
        <w:rPr>
          <w:rFonts w:ascii="Arial" w:hAnsi="Arial" w:cs="Arial"/>
          <w:bCs/>
          <w:caps/>
          <w:noProof/>
          <w:color w:val="FF0000"/>
          <w:lang w:val="en-CA" w:eastAsia="en-CA"/>
        </w:rPr>
        <w:drawing>
          <wp:inline distT="0" distB="0" distL="0" distR="0" wp14:anchorId="7B396D54" wp14:editId="65242321">
            <wp:extent cx="6311265" cy="5647690"/>
            <wp:effectExtent l="38100" t="38100" r="32385" b="29210"/>
            <wp:docPr id="10" name="Picture 10" descr="IMG_SK2_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SK2_D-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1265" cy="5647690"/>
                    </a:xfrm>
                    <a:prstGeom prst="rect">
                      <a:avLst/>
                    </a:prstGeom>
                    <a:noFill/>
                    <a:ln w="28575" cmpd="sng">
                      <a:solidFill>
                        <a:srgbClr val="000000"/>
                      </a:solidFill>
                      <a:miter lim="800000"/>
                      <a:headEnd/>
                      <a:tailEnd/>
                    </a:ln>
                    <a:effectLst/>
                  </pic:spPr>
                </pic:pic>
              </a:graphicData>
            </a:graphic>
          </wp:inline>
        </w:drawing>
      </w:r>
      <w:r w:rsidRPr="00FE3E2C">
        <w:rPr>
          <w:rFonts w:ascii="Arial" w:hAnsi="Arial" w:cs="Arial"/>
          <w:bCs/>
          <w:caps/>
          <w:color w:val="FF0000"/>
        </w:rPr>
        <w:br/>
      </w:r>
      <w:r w:rsidRPr="00FE3E2C">
        <w:rPr>
          <w:rFonts w:ascii="Arial" w:hAnsi="Arial" w:cs="Arial"/>
          <w:bCs/>
          <w:i/>
          <w:iCs/>
        </w:rPr>
        <w:t xml:space="preserve">Figure </w:t>
      </w:r>
      <w:r w:rsidR="00C95845" w:rsidRPr="00FE3E2C">
        <w:rPr>
          <w:rFonts w:ascii="Arial" w:hAnsi="Arial" w:cs="Arial"/>
          <w:bCs/>
          <w:i/>
          <w:iCs/>
        </w:rPr>
        <w:t>11</w:t>
      </w:r>
      <w:r w:rsidRPr="00FE3E2C">
        <w:rPr>
          <w:rFonts w:ascii="Arial" w:hAnsi="Arial" w:cs="Arial"/>
          <w:bCs/>
          <w:i/>
          <w:iCs/>
        </w:rPr>
        <w:t xml:space="preserve">: </w:t>
      </w:r>
      <w:r w:rsidRPr="00FE3E2C">
        <w:rPr>
          <w:rStyle w:val="Strong"/>
          <w:rFonts w:ascii="Arial" w:hAnsi="Arial" w:cs="Arial"/>
          <w:b w:val="0"/>
          <w:i/>
          <w:iCs/>
        </w:rPr>
        <w:t>Density neutron logs on low resistivity, radioactive, dolomitic Bakken sand. Note high apparent porosity (almost coal values) in upper and lower shales. Density neutron separation and PE show a 50-50 mix of quartz and dolomite with a few percent pyrite. XRD and sample descriptions confirm this analysis.</w:t>
      </w:r>
    </w:p>
    <w:p w14:paraId="278B6A98" w14:textId="77777777" w:rsidR="00BB7EE0" w:rsidRPr="00FE3E2C" w:rsidRDefault="00BB7EE0" w:rsidP="00FE3E2C">
      <w:pPr>
        <w:pStyle w:val="NormalWeb"/>
        <w:spacing w:line="276" w:lineRule="auto"/>
        <w:jc w:val="center"/>
      </w:pPr>
    </w:p>
    <w:p w14:paraId="2A85138D" w14:textId="77777777" w:rsidR="00BB7EE0" w:rsidRPr="00FE3E2C" w:rsidRDefault="00A51316" w:rsidP="00FE3E2C">
      <w:pPr>
        <w:pStyle w:val="NormalWeb"/>
        <w:spacing w:line="276" w:lineRule="auto"/>
        <w:jc w:val="center"/>
      </w:pPr>
      <w:r w:rsidRPr="00FE3E2C">
        <w:rPr>
          <w:noProof/>
          <w:lang w:val="en-CA" w:eastAsia="en-CA"/>
        </w:rPr>
        <w:lastRenderedPageBreak/>
        <w:drawing>
          <wp:inline distT="0" distB="0" distL="0" distR="0" wp14:anchorId="36648D51" wp14:editId="4A8E3E95">
            <wp:extent cx="6311265" cy="6302375"/>
            <wp:effectExtent l="38100" t="38100" r="32385" b="41275"/>
            <wp:docPr id="11" name="Picture 11" descr="IMG_SK2_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SK2_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1265" cy="6302375"/>
                    </a:xfrm>
                    <a:prstGeom prst="rect">
                      <a:avLst/>
                    </a:prstGeom>
                    <a:noFill/>
                    <a:ln w="28575" cmpd="sng">
                      <a:solidFill>
                        <a:srgbClr val="000000"/>
                      </a:solidFill>
                      <a:miter lim="800000"/>
                      <a:headEnd/>
                      <a:tailEnd/>
                    </a:ln>
                    <a:effectLst/>
                  </pic:spPr>
                </pic:pic>
              </a:graphicData>
            </a:graphic>
          </wp:inline>
        </w:drawing>
      </w:r>
      <w:r w:rsidR="00BB7EE0" w:rsidRPr="00FE3E2C">
        <w:br/>
      </w:r>
      <w:r w:rsidR="00BB7EE0" w:rsidRPr="00FE3E2C">
        <w:rPr>
          <w:rFonts w:ascii="Arial" w:hAnsi="Arial" w:cs="Arial"/>
          <w:bCs/>
          <w:i/>
          <w:iCs/>
        </w:rPr>
        <w:t xml:space="preserve">Figure </w:t>
      </w:r>
      <w:r w:rsidR="00C95845" w:rsidRPr="00FE3E2C">
        <w:rPr>
          <w:rFonts w:ascii="Arial" w:hAnsi="Arial" w:cs="Arial"/>
          <w:bCs/>
          <w:i/>
          <w:iCs/>
        </w:rPr>
        <w:t>12</w:t>
      </w:r>
      <w:r w:rsidR="00BB7EE0" w:rsidRPr="00FE3E2C">
        <w:rPr>
          <w:rFonts w:ascii="Arial" w:hAnsi="Arial" w:cs="Arial"/>
          <w:bCs/>
          <w:i/>
          <w:iCs/>
        </w:rPr>
        <w:t xml:space="preserve">: </w:t>
      </w:r>
      <w:r w:rsidR="00BB7EE0" w:rsidRPr="00FE3E2C">
        <w:rPr>
          <w:rStyle w:val="Strong"/>
          <w:rFonts w:ascii="Arial" w:hAnsi="Arial" w:cs="Arial"/>
          <w:b w:val="0"/>
          <w:i/>
          <w:iCs/>
        </w:rPr>
        <w:t xml:space="preserve">The answer plot illustrates the mineral mix and the match to core porosity and permeability that was achieved. The curves in the correlation track are, from left to right, uranium, potassium, thorium, total gamma ray. </w:t>
      </w:r>
    </w:p>
    <w:p w14:paraId="4E4BC2E4" w14:textId="77777777" w:rsidR="00BB7EE0" w:rsidRPr="00FE3E2C" w:rsidRDefault="00A51316" w:rsidP="00FE3E2C">
      <w:pPr>
        <w:pStyle w:val="NormalWeb"/>
        <w:spacing w:line="276" w:lineRule="auto"/>
        <w:jc w:val="center"/>
      </w:pPr>
      <w:r w:rsidRPr="00FE3E2C">
        <w:rPr>
          <w:rFonts w:ascii="Arial" w:hAnsi="Arial" w:cs="Arial"/>
          <w:bCs/>
          <w:i/>
          <w:iCs/>
          <w:noProof/>
          <w:lang w:val="en-CA" w:eastAsia="en-CA"/>
        </w:rPr>
        <w:lastRenderedPageBreak/>
        <w:drawing>
          <wp:inline distT="0" distB="0" distL="0" distR="0" wp14:anchorId="4E03B205" wp14:editId="7ED14620">
            <wp:extent cx="6194425" cy="3810000"/>
            <wp:effectExtent l="38100" t="38100" r="34925" b="38100"/>
            <wp:docPr id="12" name="Picture 12" descr="EX_Bakken_Rcorr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_Bakken_RcorrSm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4425" cy="3810000"/>
                    </a:xfrm>
                    <a:prstGeom prst="rect">
                      <a:avLst/>
                    </a:prstGeom>
                    <a:noFill/>
                    <a:ln w="28575" cmpd="sng">
                      <a:solidFill>
                        <a:srgbClr val="000000"/>
                      </a:solidFill>
                      <a:miter lim="800000"/>
                      <a:headEnd/>
                      <a:tailEnd/>
                    </a:ln>
                    <a:effectLst/>
                  </pic:spPr>
                </pic:pic>
              </a:graphicData>
            </a:graphic>
          </wp:inline>
        </w:drawing>
      </w:r>
      <w:r w:rsidR="00BB7EE0" w:rsidRPr="00FE3E2C">
        <w:rPr>
          <w:rFonts w:ascii="Arial" w:hAnsi="Arial" w:cs="Arial"/>
          <w:bCs/>
          <w:i/>
          <w:iCs/>
        </w:rPr>
        <w:br/>
        <w:t>Figure 1</w:t>
      </w:r>
      <w:r w:rsidR="00C95845" w:rsidRPr="00FE3E2C">
        <w:rPr>
          <w:rFonts w:ascii="Arial" w:hAnsi="Arial" w:cs="Arial"/>
          <w:bCs/>
          <w:i/>
          <w:iCs/>
        </w:rPr>
        <w:t>3</w:t>
      </w:r>
      <w:r w:rsidR="00BB7EE0" w:rsidRPr="00FE3E2C">
        <w:rPr>
          <w:rFonts w:ascii="Arial" w:hAnsi="Arial" w:cs="Arial"/>
          <w:bCs/>
          <w:i/>
          <w:iCs/>
        </w:rPr>
        <w:t xml:space="preserve">: Here is a different well with the pyrite correction applied to the resistivity log. The before and after versions of the resistivity are shown in Track 2, along with the pyrite fraction determined from a </w:t>
      </w:r>
      <w:r w:rsidR="00BB7EE0" w:rsidRPr="00FE3E2C">
        <w:rPr>
          <w:rFonts w:ascii="Arial" w:hAnsi="Arial" w:cs="Arial"/>
          <w:bCs/>
          <w:i/>
          <w:iCs/>
        </w:rPr>
        <w:br/>
        <w:t xml:space="preserve">3-mineral model using PE-density-neutron logs. The correction raises the resistivity about 0.5 </w:t>
      </w:r>
      <w:r w:rsidR="00BB7EE0" w:rsidRPr="00FE3E2C">
        <w:rPr>
          <w:rFonts w:ascii="Arial" w:hAnsi="Arial" w:cs="Arial"/>
          <w:bCs/>
          <w:i/>
          <w:iCs/>
        </w:rPr>
        <w:br/>
        <w:t xml:space="preserve">ohm-m and reduces water saturation by about 10%. Making the pyrite more conductive would </w:t>
      </w:r>
      <w:r w:rsidR="00BB7EE0" w:rsidRPr="00FE3E2C">
        <w:rPr>
          <w:rFonts w:ascii="Arial" w:hAnsi="Arial" w:cs="Arial"/>
          <w:bCs/>
          <w:i/>
          <w:iCs/>
        </w:rPr>
        <w:br/>
        <w:t xml:space="preserve">raise RESD further, but as yet no one has provided any public capillary pressure data in this area </w:t>
      </w:r>
      <w:r w:rsidR="00BB7EE0" w:rsidRPr="00FE3E2C">
        <w:rPr>
          <w:rFonts w:ascii="Arial" w:hAnsi="Arial" w:cs="Arial"/>
          <w:bCs/>
          <w:i/>
          <w:iCs/>
        </w:rPr>
        <w:br/>
        <w:t xml:space="preserve">to calibrate SW. The </w:t>
      </w:r>
      <w:proofErr w:type="spellStart"/>
      <w:r w:rsidR="00BB7EE0" w:rsidRPr="00FE3E2C">
        <w:rPr>
          <w:rFonts w:ascii="Arial" w:hAnsi="Arial" w:cs="Arial"/>
          <w:bCs/>
          <w:i/>
          <w:iCs/>
        </w:rPr>
        <w:t>SWir</w:t>
      </w:r>
      <w:proofErr w:type="spellEnd"/>
      <w:r w:rsidR="00BB7EE0" w:rsidRPr="00FE3E2C">
        <w:rPr>
          <w:rFonts w:ascii="Arial" w:hAnsi="Arial" w:cs="Arial"/>
          <w:bCs/>
          <w:i/>
          <w:iCs/>
        </w:rPr>
        <w:t xml:space="preserve"> from an NMR log would also help calibrate this problem.</w:t>
      </w:r>
      <w:r w:rsidR="00BB7EE0" w:rsidRPr="00FE3E2C">
        <w:rPr>
          <w:rFonts w:ascii="Arial" w:hAnsi="Arial" w:cs="Arial"/>
          <w:bCs/>
          <w:i/>
          <w:iCs/>
        </w:rPr>
        <w:br/>
        <w:t> </w:t>
      </w:r>
    </w:p>
    <w:p w14:paraId="4B808749" w14:textId="77777777" w:rsidR="00BB7EE0" w:rsidRPr="00FE3E2C" w:rsidRDefault="00BB7EE0" w:rsidP="00FE3E2C">
      <w:pPr>
        <w:pStyle w:val="NormalWeb"/>
        <w:spacing w:line="276" w:lineRule="auto"/>
      </w:pPr>
      <w:r w:rsidRPr="00500004">
        <w:rPr>
          <w:rStyle w:val="Strong"/>
          <w:rFonts w:ascii="Arial" w:hAnsi="Arial" w:cs="Arial"/>
        </w:rPr>
        <w:t>ACKNOWLEDGEMENTS</w:t>
      </w:r>
      <w:r w:rsidRPr="00500004">
        <w:rPr>
          <w:rStyle w:val="Strong"/>
          <w:rFonts w:ascii="Arial" w:hAnsi="Arial" w:cs="Arial"/>
        </w:rPr>
        <w:br/>
      </w:r>
      <w:r w:rsidRPr="00FE3E2C">
        <w:rPr>
          <w:rStyle w:val="Strong"/>
          <w:rFonts w:ascii="Arial" w:hAnsi="Arial" w:cs="Arial"/>
          <w:b w:val="0"/>
        </w:rPr>
        <w:t>Thanks to Dave Hume of Canadian Discovery Ltd. for his help in clarifying geological concepts on this and many other of my petrophysical projects.</w:t>
      </w:r>
    </w:p>
    <w:p w14:paraId="1CD2C8EC" w14:textId="77777777" w:rsidR="00BB7EE0" w:rsidRPr="00FE3E2C" w:rsidRDefault="00BB7EE0" w:rsidP="00FE3E2C">
      <w:pPr>
        <w:pStyle w:val="NormalWeb"/>
        <w:spacing w:line="276" w:lineRule="auto"/>
        <w:rPr>
          <w:rStyle w:val="Strong"/>
          <w:rFonts w:ascii="Arial" w:hAnsi="Arial" w:cs="Arial"/>
          <w:b w:val="0"/>
          <w:i/>
          <w:iCs/>
        </w:rPr>
      </w:pPr>
      <w:r w:rsidRPr="00FE3E2C">
        <w:rPr>
          <w:rFonts w:ascii="Arial" w:hAnsi="Arial" w:cs="Arial"/>
          <w:color w:val="FF0000"/>
        </w:rPr>
        <w:br/>
      </w:r>
    </w:p>
    <w:p w14:paraId="5D72D18F" w14:textId="77777777" w:rsidR="00BB7EE0" w:rsidRPr="00FE3E2C" w:rsidRDefault="00BB7EE0" w:rsidP="00FE3E2C">
      <w:pPr>
        <w:pStyle w:val="NormalWeb"/>
        <w:spacing w:line="276" w:lineRule="auto"/>
        <w:jc w:val="center"/>
        <w:rPr>
          <w:bCs/>
          <w:i/>
          <w:iCs/>
        </w:rPr>
      </w:pPr>
    </w:p>
    <w:sectPr w:rsidR="00BB7EE0" w:rsidRPr="00FE3E2C">
      <w:pgSz w:w="12240" w:h="15840" w:code="1"/>
      <w:pgMar w:top="720" w:right="1008"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49A8F" w14:textId="77777777" w:rsidR="00283811" w:rsidRDefault="00283811">
      <w:r>
        <w:separator/>
      </w:r>
    </w:p>
  </w:endnote>
  <w:endnote w:type="continuationSeparator" w:id="0">
    <w:p w14:paraId="0935D024" w14:textId="77777777" w:rsidR="00283811" w:rsidRDefault="00283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38534" w14:textId="77777777" w:rsidR="00283811" w:rsidRDefault="00283811">
      <w:r>
        <w:separator/>
      </w:r>
    </w:p>
  </w:footnote>
  <w:footnote w:type="continuationSeparator" w:id="0">
    <w:p w14:paraId="63C14671" w14:textId="77777777" w:rsidR="00283811" w:rsidRDefault="002838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890"/>
    <w:multiLevelType w:val="multilevel"/>
    <w:tmpl w:val="5BA4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251F98"/>
    <w:multiLevelType w:val="hybridMultilevel"/>
    <w:tmpl w:val="984072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CE3205B"/>
    <w:multiLevelType w:val="multilevel"/>
    <w:tmpl w:val="ED4A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7441272">
    <w:abstractNumId w:val="1"/>
  </w:num>
  <w:num w:numId="2" w16cid:durableId="1740444289">
    <w:abstractNumId w:val="0"/>
  </w:num>
  <w:num w:numId="3" w16cid:durableId="8753882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2rAyjC9JkXPBP8vz+C9PudNvockSHNqgvb5xo3c//1zZl6ySKhIeb05IMDWSc3CDVIbloKsSxMjMOX42OeQtKA==" w:salt="yv9gmoJYsJesNcxILlj86w=="/>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5897"/>
    <w:rsid w:val="000B3FAA"/>
    <w:rsid w:val="001B0E0E"/>
    <w:rsid w:val="00251DBF"/>
    <w:rsid w:val="00283811"/>
    <w:rsid w:val="002D038E"/>
    <w:rsid w:val="00337166"/>
    <w:rsid w:val="00340C8E"/>
    <w:rsid w:val="004101AB"/>
    <w:rsid w:val="004966BA"/>
    <w:rsid w:val="00500004"/>
    <w:rsid w:val="00666F90"/>
    <w:rsid w:val="00716A32"/>
    <w:rsid w:val="0079344F"/>
    <w:rsid w:val="00823E5D"/>
    <w:rsid w:val="00845DA5"/>
    <w:rsid w:val="008C362E"/>
    <w:rsid w:val="00A51316"/>
    <w:rsid w:val="00BB7EE0"/>
    <w:rsid w:val="00C95845"/>
    <w:rsid w:val="00CB5F58"/>
    <w:rsid w:val="00CD0659"/>
    <w:rsid w:val="00D25897"/>
    <w:rsid w:val="00EA5033"/>
    <w:rsid w:val="00F65D64"/>
    <w:rsid w:val="00FE3E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AD4226"/>
  <w15:docId w15:val="{81262332-252B-4C6F-9431-36ECA284B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strike w:val="0"/>
      <w:dstrike w:val="0"/>
      <w:color w:val="0066CC"/>
      <w:u w:val="none"/>
      <w:effect w:val="none"/>
    </w:rPr>
  </w:style>
  <w:style w:type="paragraph" w:styleId="BodyText2">
    <w:name w:val="Body Text 2"/>
    <w:basedOn w:val="Normal"/>
    <w:pPr>
      <w:spacing w:before="100" w:beforeAutospacing="1" w:after="100" w:afterAutospacing="1"/>
    </w:pPr>
  </w:style>
  <w:style w:type="paragraph" w:styleId="NormalWeb">
    <w:name w:val="Normal (Web)"/>
    <w:basedOn w:val="Normal"/>
    <w:pPr>
      <w:spacing w:before="100" w:beforeAutospacing="1" w:after="100" w:afterAutospacing="1"/>
    </w:pPr>
  </w:style>
  <w:style w:type="paragraph" w:styleId="PlainText">
    <w:name w:val="Plain Text"/>
    <w:basedOn w:val="Normal"/>
    <w:pPr>
      <w:spacing w:before="100" w:beforeAutospacing="1" w:after="100" w:afterAutospacing="1"/>
    </w:pPr>
  </w:style>
  <w:style w:type="paragraph" w:styleId="Title">
    <w:name w:val="Title"/>
    <w:basedOn w:val="Normal"/>
    <w:qFormat/>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00"/>
      <w:overflowPunct w:val="0"/>
      <w:autoSpaceDE w:val="0"/>
      <w:autoSpaceDN w:val="0"/>
      <w:adjustRightInd w:val="0"/>
      <w:jc w:val="center"/>
    </w:pPr>
    <w:rPr>
      <w:rFonts w:ascii="Arial" w:hAnsi="Arial"/>
      <w:b/>
      <w:i/>
      <w:color w:val="FF0000"/>
      <w:sz w:val="48"/>
      <w:szCs w:val="20"/>
    </w:rPr>
  </w:style>
  <w:style w:type="paragraph" w:styleId="Subtitle">
    <w:name w:val="Subtitle"/>
    <w:basedOn w:val="Normal"/>
    <w:qFormat/>
    <w:pPr>
      <w:overflowPunct w:val="0"/>
      <w:autoSpaceDE w:val="0"/>
      <w:autoSpaceDN w:val="0"/>
      <w:adjustRightInd w:val="0"/>
      <w:jc w:val="center"/>
    </w:pPr>
    <w:rPr>
      <w:b/>
      <w:sz w:val="28"/>
      <w:szCs w:val="20"/>
    </w:rPr>
  </w:style>
  <w:style w:type="paragraph" w:styleId="z-TopofForm">
    <w:name w:val="HTML Top of Form"/>
    <w:basedOn w:val="Normal"/>
    <w:next w:val="Normal"/>
    <w:hidden/>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Strong">
    <w:name w:val="Strong"/>
    <w:basedOn w:val="DefaultParagraphFont"/>
    <w:qFormat/>
    <w:rPr>
      <w:b/>
      <w:bCs/>
    </w:rPr>
  </w:style>
  <w:style w:type="character" w:styleId="Emphasis">
    <w:name w:val="Emphasis"/>
    <w:basedOn w:val="DefaultParagraphFont"/>
    <w:qFormat/>
    <w:rPr>
      <w:i/>
      <w:iCs/>
    </w:rPr>
  </w:style>
  <w:style w:type="paragraph" w:styleId="BalloonText">
    <w:name w:val="Balloon Text"/>
    <w:basedOn w:val="Normal"/>
    <w:link w:val="BalloonTextChar"/>
    <w:rsid w:val="00337166"/>
    <w:rPr>
      <w:rFonts w:ascii="Tahoma" w:hAnsi="Tahoma" w:cs="Tahoma"/>
      <w:sz w:val="16"/>
      <w:szCs w:val="16"/>
    </w:rPr>
  </w:style>
  <w:style w:type="character" w:customStyle="1" w:styleId="BalloonTextChar">
    <w:name w:val="Balloon Text Char"/>
    <w:basedOn w:val="DefaultParagraphFont"/>
    <w:link w:val="BalloonText"/>
    <w:rsid w:val="00337166"/>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07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14</Pages>
  <Words>2866</Words>
  <Characters>16341</Characters>
  <Application>Microsoft Office Word</Application>
  <DocSecurity>8</DocSecurity>
  <Lines>136</Lines>
  <Paragraphs>38</Paragraphs>
  <ScaleCrop>false</ScaleCrop>
  <HeadingPairs>
    <vt:vector size="2" baseType="variant">
      <vt:variant>
        <vt:lpstr>Title</vt:lpstr>
      </vt:variant>
      <vt:variant>
        <vt:i4>1</vt:i4>
      </vt:variant>
    </vt:vector>
  </HeadingPairs>
  <TitlesOfParts>
    <vt:vector size="1" baseType="lpstr">
      <vt:lpstr>Crain's Laminated Shaly Sands</vt:lpstr>
    </vt:vector>
  </TitlesOfParts>
  <Company/>
  <LinksUpToDate>false</LinksUpToDate>
  <CharactersWithSpaces>19169</CharactersWithSpaces>
  <SharedDoc>false</SharedDoc>
  <HLinks>
    <vt:vector size="42" baseType="variant">
      <vt:variant>
        <vt:i4>3866670</vt:i4>
      </vt:variant>
      <vt:variant>
        <vt:i4>51</vt:i4>
      </vt:variant>
      <vt:variant>
        <vt:i4>0</vt:i4>
      </vt:variant>
      <vt:variant>
        <vt:i4>5</vt:i4>
      </vt:variant>
      <vt:variant>
        <vt:lpwstr>http://www.apegga.org/</vt:lpwstr>
      </vt:variant>
      <vt:variant>
        <vt:lpwstr/>
      </vt:variant>
      <vt:variant>
        <vt:i4>4587536</vt:i4>
      </vt:variant>
      <vt:variant>
        <vt:i4>48</vt:i4>
      </vt:variant>
      <vt:variant>
        <vt:i4>0</vt:i4>
      </vt:variant>
      <vt:variant>
        <vt:i4>5</vt:i4>
      </vt:variant>
      <vt:variant>
        <vt:lpwstr>http://www.spwla.org/</vt:lpwstr>
      </vt:variant>
      <vt:variant>
        <vt:lpwstr/>
      </vt:variant>
      <vt:variant>
        <vt:i4>5701724</vt:i4>
      </vt:variant>
      <vt:variant>
        <vt:i4>45</vt:i4>
      </vt:variant>
      <vt:variant>
        <vt:i4>0</vt:i4>
      </vt:variant>
      <vt:variant>
        <vt:i4>5</vt:i4>
      </vt:variant>
      <vt:variant>
        <vt:lpwstr>http://www.cwls.org/</vt:lpwstr>
      </vt:variant>
      <vt:variant>
        <vt:lpwstr/>
      </vt:variant>
      <vt:variant>
        <vt:i4>589890</vt:i4>
      </vt:variant>
      <vt:variant>
        <vt:i4>42</vt:i4>
      </vt:variant>
      <vt:variant>
        <vt:i4>0</vt:i4>
      </vt:variant>
      <vt:variant>
        <vt:i4>5</vt:i4>
      </vt:variant>
      <vt:variant>
        <vt:lpwstr>../../../Documents and Settings/Ross Crain/DOCUME~1/dhume.CDL/LOCALS~1/Temp/Temporary Directory 1 for 2010-9UnconvBAKN.zip/resume.htm</vt:lpwstr>
      </vt:variant>
      <vt:variant>
        <vt:lpwstr/>
      </vt:variant>
      <vt:variant>
        <vt:i4>1048689</vt:i4>
      </vt:variant>
      <vt:variant>
        <vt:i4>3</vt:i4>
      </vt:variant>
      <vt:variant>
        <vt:i4>0</vt:i4>
      </vt:variant>
      <vt:variant>
        <vt:i4>5</vt:i4>
      </vt:variant>
      <vt:variant>
        <vt:lpwstr>../../../Documents and Settings/Ross Crain/DOCUME~1/dhume.CDL/spec2000/freepubs/ross@spec2000.net</vt:lpwstr>
      </vt:variant>
      <vt:variant>
        <vt:lpwstr/>
      </vt:variant>
      <vt:variant>
        <vt:i4>5963865</vt:i4>
      </vt:variant>
      <vt:variant>
        <vt:i4>0</vt:i4>
      </vt:variant>
      <vt:variant>
        <vt:i4>0</vt:i4>
      </vt:variant>
      <vt:variant>
        <vt:i4>5</vt:i4>
      </vt:variant>
      <vt:variant>
        <vt:lpwstr>http://www.spec2000.net/</vt:lpwstr>
      </vt:variant>
      <vt:variant>
        <vt:lpwstr/>
      </vt:variant>
      <vt:variant>
        <vt:i4>589890</vt:i4>
      </vt:variant>
      <vt:variant>
        <vt:i4>-1</vt:i4>
      </vt:variant>
      <vt:variant>
        <vt:i4>1056</vt:i4>
      </vt:variant>
      <vt:variant>
        <vt:i4>4</vt:i4>
      </vt:variant>
      <vt:variant>
        <vt:lpwstr>../../../Documents and Settings/Ross Crain/DOCUME~1/dhume.CDL/LOCALS~1/Temp/Temporary Directory 1 for 2010-9UnconvBAKN.zip/resume.htm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Crain's Laminated Shaly Sands</dc:title>
  <dc:creator>Ross Crain</dc:creator>
  <cp:lastModifiedBy>sandra bleue</cp:lastModifiedBy>
  <cp:revision>12</cp:revision>
  <cp:lastPrinted>2004-06-09T13:43:00Z</cp:lastPrinted>
  <dcterms:created xsi:type="dcterms:W3CDTF">2018-10-25T02:16:00Z</dcterms:created>
  <dcterms:modified xsi:type="dcterms:W3CDTF">2022-12-22T20:15:00Z</dcterms:modified>
</cp:coreProperties>
</file>