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7EC7" w14:textId="77777777" w:rsidR="00F57D3A" w:rsidRPr="00A57553" w:rsidRDefault="009A50E8" w:rsidP="008127A0">
      <w:pPr>
        <w:pStyle w:val="PlainText"/>
        <w:spacing w:line="276" w:lineRule="auto"/>
        <w:jc w:val="center"/>
        <w:rPr>
          <w:rFonts w:ascii="Arial" w:eastAsia="MS Mincho" w:hAnsi="Arial" w:cs="Arial"/>
          <w:bCs/>
          <w:i/>
          <w:sz w:val="24"/>
          <w:szCs w:val="24"/>
        </w:rPr>
      </w:pPr>
      <w:r w:rsidRPr="009A50E8">
        <w:rPr>
          <w:rFonts w:ascii="Arial" w:eastAsia="MS Mincho" w:hAnsi="Arial" w:cs="Arial"/>
          <w:b/>
          <w:bCs/>
          <w:color w:val="000000"/>
          <w:sz w:val="28"/>
          <w:szCs w:val="28"/>
        </w:rPr>
        <w:t>MYTH-INTERPRETATION</w:t>
      </w:r>
      <w:r w:rsidR="000816D6">
        <w:rPr>
          <w:rFonts w:ascii="Arial" w:eastAsia="MS Mincho" w:hAnsi="Arial" w:cs="Arial"/>
          <w:b/>
          <w:bCs/>
          <w:color w:val="000000"/>
          <w:sz w:val="28"/>
          <w:szCs w:val="28"/>
        </w:rPr>
        <w:br/>
        <w:t>PART 3</w:t>
      </w:r>
      <w:r w:rsidRPr="009A50E8">
        <w:rPr>
          <w:rFonts w:ascii="Arial" w:eastAsia="MS Mincho" w:hAnsi="Arial" w:cs="Arial"/>
          <w:b/>
          <w:bCs/>
          <w:color w:val="000000"/>
          <w:sz w:val="28"/>
          <w:szCs w:val="28"/>
        </w:rPr>
        <w:br/>
      </w:r>
      <w:r w:rsidR="00F57D3A">
        <w:rPr>
          <w:rFonts w:ascii="Arial" w:eastAsia="MS Mincho" w:hAnsi="Arial" w:cs="Arial"/>
          <w:b/>
          <w:bCs/>
          <w:color w:val="000000"/>
        </w:rPr>
        <w:br/>
      </w:r>
      <w:r w:rsidRPr="008127A0">
        <w:rPr>
          <w:rFonts w:ascii="Arial" w:eastAsia="MS Mincho" w:hAnsi="Arial" w:cs="Arial"/>
          <w:bCs/>
          <w:color w:val="000000"/>
          <w:sz w:val="24"/>
          <w:szCs w:val="24"/>
        </w:rPr>
        <w:t>E. R. Crain, P.Eng.</w:t>
      </w:r>
      <w:r w:rsidRPr="008127A0">
        <w:rPr>
          <w:rFonts w:ascii="Arial" w:eastAsia="MS Mincho" w:hAnsi="Arial" w:cs="Arial"/>
          <w:bCs/>
          <w:color w:val="000000"/>
          <w:sz w:val="24"/>
          <w:szCs w:val="24"/>
        </w:rPr>
        <w:br/>
        <w:t>Spectrum 2000 Mindware</w:t>
      </w:r>
      <w:r w:rsidR="000816D6" w:rsidRPr="008127A0">
        <w:rPr>
          <w:rFonts w:ascii="Arial" w:eastAsia="MS Mincho" w:hAnsi="Arial" w:cs="Arial"/>
          <w:bCs/>
          <w:color w:val="000000"/>
          <w:sz w:val="24"/>
          <w:szCs w:val="24"/>
        </w:rPr>
        <w:t xml:space="preserve"> Ltd</w:t>
      </w:r>
      <w:r w:rsidRPr="008127A0">
        <w:rPr>
          <w:rFonts w:ascii="Arial" w:eastAsia="MS Mincho" w:hAnsi="Arial" w:cs="Arial"/>
          <w:bCs/>
          <w:color w:val="000000"/>
          <w:sz w:val="24"/>
          <w:szCs w:val="24"/>
        </w:rPr>
        <w:br/>
      </w:r>
      <w:r w:rsidR="00F57D3A" w:rsidRPr="008127A0">
        <w:rPr>
          <w:rStyle w:val="Hyperlink"/>
          <w:rFonts w:ascii="Arial" w:eastAsia="MS Mincho" w:hAnsi="Arial" w:cs="Arial"/>
          <w:bCs/>
          <w:sz w:val="24"/>
          <w:szCs w:val="24"/>
        </w:rPr>
        <w:br/>
      </w:r>
      <w:r w:rsidR="00490CBD" w:rsidRPr="00A57553">
        <w:rPr>
          <w:rStyle w:val="Hyperlink"/>
          <w:rFonts w:ascii="Arial" w:eastAsia="MS Mincho" w:hAnsi="Arial" w:cs="Arial"/>
          <w:bCs/>
          <w:i/>
          <w:color w:val="auto"/>
          <w:sz w:val="24"/>
          <w:szCs w:val="24"/>
        </w:rPr>
        <w:t>Published</w:t>
      </w:r>
      <w:r w:rsidR="00F57D3A" w:rsidRPr="00A57553">
        <w:rPr>
          <w:rStyle w:val="Hyperlink"/>
          <w:rFonts w:ascii="Arial" w:eastAsia="MS Mincho" w:hAnsi="Arial" w:cs="Arial"/>
          <w:bCs/>
          <w:i/>
          <w:color w:val="auto"/>
          <w:sz w:val="24"/>
          <w:szCs w:val="24"/>
        </w:rPr>
        <w:t xml:space="preserve"> in CWLS In</w:t>
      </w:r>
      <w:r w:rsidR="008127A0" w:rsidRPr="00A57553">
        <w:rPr>
          <w:rStyle w:val="Hyperlink"/>
          <w:rFonts w:ascii="Arial" w:eastAsia="MS Mincho" w:hAnsi="Arial" w:cs="Arial"/>
          <w:bCs/>
          <w:i/>
          <w:color w:val="auto"/>
          <w:sz w:val="24"/>
          <w:szCs w:val="24"/>
        </w:rPr>
        <w:t>S</w:t>
      </w:r>
      <w:r w:rsidR="00F57D3A" w:rsidRPr="00A57553">
        <w:rPr>
          <w:rStyle w:val="Hyperlink"/>
          <w:rFonts w:ascii="Arial" w:eastAsia="MS Mincho" w:hAnsi="Arial" w:cs="Arial"/>
          <w:bCs/>
          <w:i/>
          <w:color w:val="auto"/>
          <w:sz w:val="24"/>
          <w:szCs w:val="24"/>
        </w:rPr>
        <w:t>ite Mar 2006.</w:t>
      </w:r>
    </w:p>
    <w:p w14:paraId="4BB275A7" w14:textId="77777777" w:rsidR="00DF7BF3" w:rsidRPr="008127A0" w:rsidRDefault="009A50E8" w:rsidP="008127A0">
      <w:pPr>
        <w:pStyle w:val="PlainText"/>
        <w:spacing w:line="276" w:lineRule="auto"/>
        <w:rPr>
          <w:rFonts w:ascii="Arial" w:eastAsia="MS Mincho" w:hAnsi="Arial" w:cs="Arial"/>
          <w:sz w:val="24"/>
          <w:szCs w:val="24"/>
        </w:rPr>
      </w:pPr>
      <w:r w:rsidRPr="008127A0">
        <w:rPr>
          <w:rFonts w:ascii="Arial" w:eastAsia="MS Mincho" w:hAnsi="Arial" w:cs="Arial"/>
          <w:b/>
          <w:bCs/>
          <w:caps/>
          <w:color w:val="000000"/>
          <w:sz w:val="24"/>
          <w:szCs w:val="24"/>
        </w:rPr>
        <w:t>Myth #</w:t>
      </w:r>
      <w:r w:rsidR="00BF1C2F" w:rsidRPr="008127A0">
        <w:rPr>
          <w:rFonts w:ascii="Arial" w:eastAsia="MS Mincho" w:hAnsi="Arial" w:cs="Arial"/>
          <w:b/>
          <w:bCs/>
          <w:caps/>
          <w:color w:val="000000"/>
          <w:sz w:val="24"/>
          <w:szCs w:val="24"/>
        </w:rPr>
        <w:t>3</w:t>
      </w:r>
      <w:r w:rsidRPr="008127A0">
        <w:rPr>
          <w:rFonts w:ascii="Arial" w:eastAsia="MS Mincho" w:hAnsi="Arial" w:cs="Arial"/>
          <w:b/>
          <w:bCs/>
          <w:caps/>
          <w:color w:val="000000"/>
          <w:sz w:val="24"/>
          <w:szCs w:val="24"/>
        </w:rPr>
        <w:t xml:space="preserve">: </w:t>
      </w:r>
      <w:r w:rsidR="00BF1C2F" w:rsidRPr="008127A0">
        <w:rPr>
          <w:rFonts w:ascii="Arial" w:eastAsia="MS Mincho" w:hAnsi="Arial" w:cs="Arial"/>
          <w:b/>
          <w:bCs/>
          <w:caps/>
          <w:color w:val="000000"/>
          <w:sz w:val="24"/>
          <w:szCs w:val="24"/>
        </w:rPr>
        <w:t>High Water Saturation Means Water Production</w:t>
      </w:r>
      <w:r w:rsidR="008127A0">
        <w:rPr>
          <w:rFonts w:ascii="Arial" w:eastAsia="MS Mincho" w:hAnsi="Arial" w:cs="Arial"/>
          <w:b/>
          <w:bCs/>
          <w:caps/>
          <w:color w:val="000000"/>
          <w:sz w:val="24"/>
          <w:szCs w:val="24"/>
        </w:rPr>
        <w:br/>
      </w:r>
      <w:r w:rsidR="00BF1C2F" w:rsidRPr="008127A0">
        <w:rPr>
          <w:rFonts w:ascii="Arial" w:eastAsia="MS Mincho" w:hAnsi="Arial" w:cs="Arial"/>
          <w:sz w:val="24"/>
          <w:szCs w:val="24"/>
        </w:rPr>
        <w:t xml:space="preserve">Sometimes this is true, but often it is not. Pore geometry changes with depth can fool the best analyst. You need more than logs to resolve the issue. Production tests of clean oil from zones with high water saturation will do the trick. So will capillary pressure data from the zone concerned. </w:t>
      </w:r>
      <w:r w:rsidR="00DF7BF3" w:rsidRPr="008127A0">
        <w:rPr>
          <w:rFonts w:ascii="Arial" w:eastAsia="MS Mincho" w:hAnsi="Arial" w:cs="Arial"/>
          <w:sz w:val="24"/>
          <w:szCs w:val="24"/>
        </w:rPr>
        <w:t xml:space="preserve">Nuclear </w:t>
      </w:r>
      <w:r w:rsidR="006811D3" w:rsidRPr="008127A0">
        <w:rPr>
          <w:rFonts w:ascii="Arial" w:eastAsia="MS Mincho" w:hAnsi="Arial" w:cs="Arial"/>
          <w:sz w:val="24"/>
          <w:szCs w:val="24"/>
        </w:rPr>
        <w:t>m</w:t>
      </w:r>
      <w:r w:rsidR="00DF7BF3" w:rsidRPr="008127A0">
        <w:rPr>
          <w:rFonts w:ascii="Arial" w:eastAsia="MS Mincho" w:hAnsi="Arial" w:cs="Arial"/>
          <w:sz w:val="24"/>
          <w:szCs w:val="24"/>
        </w:rPr>
        <w:t xml:space="preserve">agnetic </w:t>
      </w:r>
      <w:r w:rsidR="006811D3" w:rsidRPr="008127A0">
        <w:rPr>
          <w:rFonts w:ascii="Arial" w:eastAsia="MS Mincho" w:hAnsi="Arial" w:cs="Arial"/>
          <w:sz w:val="24"/>
          <w:szCs w:val="24"/>
        </w:rPr>
        <w:t>r</w:t>
      </w:r>
      <w:r w:rsidR="00DF7BF3" w:rsidRPr="008127A0">
        <w:rPr>
          <w:rFonts w:ascii="Arial" w:eastAsia="MS Mincho" w:hAnsi="Arial" w:cs="Arial"/>
          <w:sz w:val="24"/>
          <w:szCs w:val="24"/>
        </w:rPr>
        <w:t>esonance logs might help, but how many of them have you seen recently</w:t>
      </w:r>
      <w:r w:rsidR="006811D3" w:rsidRPr="008127A0">
        <w:rPr>
          <w:rFonts w:ascii="Arial" w:eastAsia="MS Mincho" w:hAnsi="Arial" w:cs="Arial"/>
          <w:sz w:val="24"/>
          <w:szCs w:val="24"/>
        </w:rPr>
        <w:t>?</w:t>
      </w:r>
      <w:r w:rsidR="00DF7BF3" w:rsidRPr="008127A0">
        <w:rPr>
          <w:rFonts w:ascii="Arial" w:eastAsia="MS Mincho" w:hAnsi="Arial" w:cs="Arial"/>
          <w:sz w:val="24"/>
          <w:szCs w:val="24"/>
        </w:rPr>
        <w:t xml:space="preserve"> </w:t>
      </w:r>
    </w:p>
    <w:p w14:paraId="18586DF3" w14:textId="77777777" w:rsidR="00C734E3" w:rsidRPr="008127A0" w:rsidRDefault="00BF1C2F" w:rsidP="008127A0">
      <w:pPr>
        <w:pStyle w:val="PlainText"/>
        <w:spacing w:line="276" w:lineRule="auto"/>
        <w:rPr>
          <w:rFonts w:ascii="Arial" w:eastAsia="MS Mincho" w:hAnsi="Arial" w:cs="Arial"/>
          <w:sz w:val="24"/>
          <w:szCs w:val="24"/>
        </w:rPr>
      </w:pPr>
      <w:r w:rsidRPr="008127A0">
        <w:rPr>
          <w:rFonts w:ascii="Arial" w:eastAsia="MS Mincho" w:hAnsi="Arial" w:cs="Arial"/>
          <w:sz w:val="24"/>
          <w:szCs w:val="24"/>
        </w:rPr>
        <w:t xml:space="preserve">Vuggy porosity, </w:t>
      </w:r>
      <w:r w:rsidR="00C734E3" w:rsidRPr="008127A0">
        <w:rPr>
          <w:rFonts w:ascii="Arial" w:eastAsia="MS Mincho" w:hAnsi="Arial" w:cs="Arial"/>
          <w:sz w:val="24"/>
          <w:szCs w:val="24"/>
        </w:rPr>
        <w:t xml:space="preserve">very </w:t>
      </w:r>
      <w:r w:rsidR="00333014" w:rsidRPr="008127A0">
        <w:rPr>
          <w:rFonts w:ascii="Arial" w:eastAsia="MS Mincho" w:hAnsi="Arial" w:cs="Arial"/>
          <w:sz w:val="24"/>
          <w:szCs w:val="24"/>
        </w:rPr>
        <w:t xml:space="preserve">fine grained </w:t>
      </w:r>
      <w:r w:rsidR="00C734E3" w:rsidRPr="008127A0">
        <w:rPr>
          <w:rFonts w:ascii="Arial" w:eastAsia="MS Mincho" w:hAnsi="Arial" w:cs="Arial"/>
          <w:sz w:val="24"/>
          <w:szCs w:val="24"/>
        </w:rPr>
        <w:t>texture</w:t>
      </w:r>
      <w:r w:rsidR="00333014" w:rsidRPr="008127A0">
        <w:rPr>
          <w:rFonts w:ascii="Arial" w:eastAsia="MS Mincho" w:hAnsi="Arial" w:cs="Arial"/>
          <w:sz w:val="24"/>
          <w:szCs w:val="24"/>
        </w:rPr>
        <w:t xml:space="preserve">, </w:t>
      </w:r>
      <w:r w:rsidR="00573C0D" w:rsidRPr="008127A0">
        <w:rPr>
          <w:rFonts w:ascii="Arial" w:eastAsia="MS Mincho" w:hAnsi="Arial" w:cs="Arial"/>
          <w:sz w:val="24"/>
          <w:szCs w:val="24"/>
        </w:rPr>
        <w:t xml:space="preserve">open fractures, </w:t>
      </w:r>
      <w:r w:rsidR="00C734E3" w:rsidRPr="008127A0">
        <w:rPr>
          <w:rFonts w:ascii="Arial" w:eastAsia="MS Mincho" w:hAnsi="Arial" w:cs="Arial"/>
          <w:sz w:val="24"/>
          <w:szCs w:val="24"/>
        </w:rPr>
        <w:t xml:space="preserve">and </w:t>
      </w:r>
      <w:r w:rsidR="00333014" w:rsidRPr="008127A0">
        <w:rPr>
          <w:rFonts w:ascii="Arial" w:eastAsia="MS Mincho" w:hAnsi="Arial" w:cs="Arial"/>
          <w:sz w:val="24"/>
          <w:szCs w:val="24"/>
        </w:rPr>
        <w:t>micro</w:t>
      </w:r>
      <w:r w:rsidR="00C734E3" w:rsidRPr="008127A0">
        <w:rPr>
          <w:rFonts w:ascii="Arial" w:eastAsia="MS Mincho" w:hAnsi="Arial" w:cs="Arial"/>
          <w:sz w:val="24"/>
          <w:szCs w:val="24"/>
        </w:rPr>
        <w:t>-</w:t>
      </w:r>
      <w:r w:rsidR="00333014" w:rsidRPr="008127A0">
        <w:rPr>
          <w:rFonts w:ascii="Arial" w:eastAsia="MS Mincho" w:hAnsi="Arial" w:cs="Arial"/>
          <w:sz w:val="24"/>
          <w:szCs w:val="24"/>
        </w:rPr>
        <w:t>porosity</w:t>
      </w:r>
      <w:r w:rsidR="00C734E3" w:rsidRPr="008127A0">
        <w:rPr>
          <w:rFonts w:ascii="Arial" w:eastAsia="MS Mincho" w:hAnsi="Arial" w:cs="Arial"/>
          <w:sz w:val="24"/>
          <w:szCs w:val="24"/>
        </w:rPr>
        <w:t xml:space="preserve"> are possible causes </w:t>
      </w:r>
      <w:r w:rsidR="006811D3" w:rsidRPr="008127A0">
        <w:rPr>
          <w:rFonts w:ascii="Arial" w:eastAsia="MS Mincho" w:hAnsi="Arial" w:cs="Arial"/>
          <w:sz w:val="24"/>
          <w:szCs w:val="24"/>
        </w:rPr>
        <w:t xml:space="preserve">of high water saturation, </w:t>
      </w:r>
      <w:r w:rsidR="00C734E3" w:rsidRPr="008127A0">
        <w:rPr>
          <w:rFonts w:ascii="Arial" w:eastAsia="MS Mincho" w:hAnsi="Arial" w:cs="Arial"/>
          <w:sz w:val="24"/>
          <w:szCs w:val="24"/>
        </w:rPr>
        <w:t xml:space="preserve">which can be detected from thin section petrology or SEM images. </w:t>
      </w:r>
      <w:r w:rsidR="00333014" w:rsidRPr="008127A0">
        <w:rPr>
          <w:rFonts w:ascii="Arial" w:eastAsia="MS Mincho" w:hAnsi="Arial" w:cs="Arial"/>
          <w:sz w:val="24"/>
          <w:szCs w:val="24"/>
        </w:rPr>
        <w:t xml:space="preserve"> </w:t>
      </w:r>
    </w:p>
    <w:p w14:paraId="137EB46F" w14:textId="77777777" w:rsidR="00EC399C" w:rsidRPr="008127A0" w:rsidRDefault="00C734E3" w:rsidP="008127A0">
      <w:pPr>
        <w:pStyle w:val="PlainText"/>
        <w:spacing w:line="276" w:lineRule="auto"/>
        <w:rPr>
          <w:rFonts w:ascii="Arial" w:eastAsia="MS Mincho" w:hAnsi="Arial" w:cs="Arial"/>
          <w:sz w:val="24"/>
          <w:szCs w:val="24"/>
        </w:rPr>
      </w:pPr>
      <w:r w:rsidRPr="008127A0">
        <w:rPr>
          <w:rFonts w:ascii="Arial" w:eastAsia="MS Mincho" w:hAnsi="Arial" w:cs="Arial"/>
          <w:sz w:val="24"/>
          <w:szCs w:val="24"/>
        </w:rPr>
        <w:t>I</w:t>
      </w:r>
      <w:r w:rsidR="00333014" w:rsidRPr="008127A0">
        <w:rPr>
          <w:rFonts w:ascii="Arial" w:eastAsia="MS Mincho" w:hAnsi="Arial" w:cs="Arial"/>
          <w:sz w:val="24"/>
          <w:szCs w:val="24"/>
        </w:rPr>
        <w:t>ncreased shaliness</w:t>
      </w:r>
      <w:r w:rsidR="0017596B" w:rsidRPr="008127A0">
        <w:rPr>
          <w:rFonts w:ascii="Arial" w:eastAsia="MS Mincho" w:hAnsi="Arial" w:cs="Arial"/>
          <w:sz w:val="24"/>
          <w:szCs w:val="24"/>
        </w:rPr>
        <w:t xml:space="preserve"> </w:t>
      </w:r>
      <w:r w:rsidRPr="008127A0">
        <w:rPr>
          <w:rFonts w:ascii="Arial" w:eastAsia="MS Mincho" w:hAnsi="Arial" w:cs="Arial"/>
          <w:sz w:val="24"/>
          <w:szCs w:val="24"/>
        </w:rPr>
        <w:t xml:space="preserve">is a common cause, not from clay-bound water which is handled by appropriate clay corrections to porosity and saturation, but rather from an overall decrease in grain size coincident with the increased clay content. </w:t>
      </w:r>
      <w:r w:rsidR="00EC399C" w:rsidRPr="008127A0">
        <w:rPr>
          <w:rFonts w:ascii="Arial" w:hAnsi="Arial" w:cs="Arial"/>
          <w:bCs/>
          <w:sz w:val="24"/>
          <w:szCs w:val="24"/>
        </w:rPr>
        <w:t>In a typical coarsening upward shaly sand sequence, it can be difficult to tell whether the zone is getting wet because it is getting shalier, or because we are approaching free water.</w:t>
      </w:r>
    </w:p>
    <w:p w14:paraId="7EDCBFCA" w14:textId="77777777" w:rsidR="00C734E3" w:rsidRPr="008127A0" w:rsidRDefault="00C734E3" w:rsidP="008127A0">
      <w:pPr>
        <w:pStyle w:val="PlainText"/>
        <w:spacing w:line="276" w:lineRule="auto"/>
        <w:rPr>
          <w:rFonts w:ascii="Arial" w:hAnsi="Arial" w:cs="Arial"/>
          <w:bCs/>
          <w:sz w:val="24"/>
          <w:szCs w:val="24"/>
        </w:rPr>
      </w:pPr>
      <w:r w:rsidRPr="008127A0">
        <w:rPr>
          <w:rFonts w:ascii="Arial" w:eastAsia="MS Mincho" w:hAnsi="Arial" w:cs="Arial"/>
          <w:sz w:val="24"/>
          <w:szCs w:val="24"/>
        </w:rPr>
        <w:t>In the case of laminated shaly sands, the unexpectedly low resistivity leads to a false calculation of high water saturation.</w:t>
      </w:r>
      <w:r w:rsidR="00DF7BF3" w:rsidRPr="008127A0">
        <w:rPr>
          <w:rFonts w:ascii="Arial" w:eastAsia="MS Mincho" w:hAnsi="Arial" w:cs="Arial"/>
          <w:sz w:val="24"/>
          <w:szCs w:val="24"/>
        </w:rPr>
        <w:t xml:space="preserve"> This topic was covered by the author in “</w:t>
      </w:r>
      <w:r w:rsidR="00DF7BF3" w:rsidRPr="008127A0">
        <w:rPr>
          <w:rFonts w:ascii="Arial" w:hAnsi="Arial" w:cs="Arial"/>
          <w:bCs/>
          <w:sz w:val="24"/>
          <w:szCs w:val="24"/>
        </w:rPr>
        <w:t xml:space="preserve">Productivity Estimation in Milk River Laminated Shaly Sands, Southeast Alberta” </w:t>
      </w:r>
      <w:r w:rsidR="00F23061" w:rsidRPr="008127A0">
        <w:rPr>
          <w:rFonts w:ascii="Arial" w:hAnsi="Arial" w:cs="Arial"/>
          <w:bCs/>
          <w:sz w:val="24"/>
          <w:szCs w:val="24"/>
        </w:rPr>
        <w:t>in</w:t>
      </w:r>
      <w:r w:rsidR="00DF7BF3" w:rsidRPr="008127A0">
        <w:rPr>
          <w:rFonts w:ascii="Arial" w:hAnsi="Arial" w:cs="Arial"/>
          <w:bCs/>
          <w:sz w:val="24"/>
          <w:szCs w:val="24"/>
        </w:rPr>
        <w:t xml:space="preserve"> CWLS In</w:t>
      </w:r>
      <w:r w:rsidR="008E291F" w:rsidRPr="008127A0">
        <w:rPr>
          <w:rFonts w:ascii="Arial" w:hAnsi="Arial" w:cs="Arial"/>
          <w:bCs/>
          <w:sz w:val="24"/>
          <w:szCs w:val="24"/>
        </w:rPr>
        <w:t>S</w:t>
      </w:r>
      <w:r w:rsidR="00DF7BF3" w:rsidRPr="008127A0">
        <w:rPr>
          <w:rFonts w:ascii="Arial" w:hAnsi="Arial" w:cs="Arial"/>
          <w:bCs/>
          <w:sz w:val="24"/>
          <w:szCs w:val="24"/>
        </w:rPr>
        <w:t>ite, Dec 2004</w:t>
      </w:r>
      <w:r w:rsidR="00F23061" w:rsidRPr="008127A0">
        <w:rPr>
          <w:rFonts w:ascii="Arial" w:hAnsi="Arial" w:cs="Arial"/>
          <w:bCs/>
          <w:sz w:val="24"/>
          <w:szCs w:val="24"/>
        </w:rPr>
        <w:t>, so we will not deal with it here.</w:t>
      </w:r>
    </w:p>
    <w:p w14:paraId="75B6B4CC" w14:textId="77777777" w:rsidR="00952F54" w:rsidRPr="008127A0" w:rsidRDefault="00952F54" w:rsidP="008127A0">
      <w:pPr>
        <w:pStyle w:val="PlainText"/>
        <w:spacing w:line="276" w:lineRule="auto"/>
        <w:rPr>
          <w:rFonts w:ascii="Arial" w:eastAsia="MS Mincho" w:hAnsi="Arial" w:cs="Arial"/>
          <w:sz w:val="24"/>
          <w:szCs w:val="24"/>
        </w:rPr>
      </w:pPr>
      <w:r w:rsidRPr="008127A0">
        <w:rPr>
          <w:rFonts w:ascii="Arial" w:eastAsia="MS Mincho" w:hAnsi="Arial" w:cs="Arial"/>
          <w:sz w:val="24"/>
          <w:szCs w:val="24"/>
        </w:rPr>
        <w:t>In the worst pore geometry, there may be no oil or gas because the pores are too small to contain both irreducible water and hydrocarbons. Such an interval could occur anywhere within a hydrocarbon column, leaving some confusion as to how best to complete the zone. And there is the special case of gas over water over oil in the McMurray Tar Sands where the high water saturation does indicate moveable water</w:t>
      </w:r>
      <w:r w:rsidR="008E291F" w:rsidRPr="008127A0">
        <w:rPr>
          <w:rFonts w:ascii="Arial" w:eastAsia="MS Mincho" w:hAnsi="Arial" w:cs="Arial"/>
          <w:sz w:val="24"/>
          <w:szCs w:val="24"/>
        </w:rPr>
        <w:t xml:space="preserve"> between the gas and the oil</w:t>
      </w:r>
      <w:r w:rsidRPr="008127A0">
        <w:rPr>
          <w:rFonts w:ascii="Arial" w:eastAsia="MS Mincho" w:hAnsi="Arial" w:cs="Arial"/>
          <w:sz w:val="24"/>
          <w:szCs w:val="24"/>
        </w:rPr>
        <w:t xml:space="preserve">. </w:t>
      </w:r>
    </w:p>
    <w:p w14:paraId="7D42DF3B" w14:textId="77777777" w:rsidR="00960619" w:rsidRPr="008127A0" w:rsidRDefault="00573C0D" w:rsidP="008127A0">
      <w:pPr>
        <w:pStyle w:val="PlainText"/>
        <w:spacing w:line="276" w:lineRule="auto"/>
        <w:rPr>
          <w:rFonts w:ascii="Arial" w:eastAsia="MS Mincho" w:hAnsi="Arial" w:cs="Arial"/>
          <w:sz w:val="24"/>
          <w:szCs w:val="24"/>
        </w:rPr>
      </w:pPr>
      <w:r w:rsidRPr="008127A0">
        <w:rPr>
          <w:rFonts w:ascii="Arial" w:eastAsia="MS Mincho" w:hAnsi="Arial" w:cs="Arial"/>
          <w:sz w:val="24"/>
          <w:szCs w:val="24"/>
        </w:rPr>
        <w:t xml:space="preserve">Finally, the analyst must distinguish depleted oil zones (with residual oil) from zones with naturally high water saturation. </w:t>
      </w:r>
      <w:r w:rsidR="00960619" w:rsidRPr="008127A0">
        <w:rPr>
          <w:rFonts w:ascii="Arial" w:eastAsia="MS Mincho" w:hAnsi="Arial" w:cs="Arial"/>
          <w:sz w:val="24"/>
          <w:szCs w:val="24"/>
        </w:rPr>
        <w:t>It’s a tough job but someone has to do it!</w:t>
      </w:r>
    </w:p>
    <w:p w14:paraId="097AD4A5" w14:textId="77777777" w:rsidR="00960619" w:rsidRPr="008127A0" w:rsidRDefault="00960619" w:rsidP="008127A0">
      <w:pPr>
        <w:pStyle w:val="PlainText"/>
        <w:spacing w:line="276" w:lineRule="auto"/>
        <w:rPr>
          <w:rFonts w:ascii="Arial" w:eastAsia="MS Mincho" w:hAnsi="Arial" w:cs="Arial"/>
          <w:sz w:val="24"/>
          <w:szCs w:val="24"/>
        </w:rPr>
      </w:pPr>
      <w:r w:rsidRPr="008127A0">
        <w:rPr>
          <w:rFonts w:ascii="Arial" w:eastAsia="MS Mincho" w:hAnsi="Arial" w:cs="Arial"/>
          <w:sz w:val="24"/>
          <w:szCs w:val="24"/>
        </w:rPr>
        <w:t xml:space="preserve">The example below </w:t>
      </w:r>
      <w:r w:rsidR="00F23061" w:rsidRPr="008127A0">
        <w:rPr>
          <w:rFonts w:ascii="Arial" w:eastAsia="MS Mincho" w:hAnsi="Arial" w:cs="Arial"/>
          <w:sz w:val="24"/>
          <w:szCs w:val="24"/>
        </w:rPr>
        <w:t>is</w:t>
      </w:r>
      <w:r w:rsidRPr="008127A0">
        <w:rPr>
          <w:rFonts w:ascii="Arial" w:eastAsia="MS Mincho" w:hAnsi="Arial" w:cs="Arial"/>
          <w:sz w:val="24"/>
          <w:szCs w:val="24"/>
        </w:rPr>
        <w:t xml:space="preserve"> from </w:t>
      </w:r>
      <w:r w:rsidR="00F23061" w:rsidRPr="008127A0">
        <w:rPr>
          <w:rFonts w:ascii="Arial" w:eastAsia="MS Mincho" w:hAnsi="Arial" w:cs="Arial"/>
          <w:sz w:val="24"/>
          <w:szCs w:val="24"/>
        </w:rPr>
        <w:t>a</w:t>
      </w:r>
      <w:r w:rsidRPr="008127A0">
        <w:rPr>
          <w:rFonts w:ascii="Arial" w:eastAsia="MS Mincho" w:hAnsi="Arial" w:cs="Arial"/>
          <w:sz w:val="24"/>
          <w:szCs w:val="24"/>
        </w:rPr>
        <w:t xml:space="preserve"> forensic analys</w:t>
      </w:r>
      <w:r w:rsidR="00F23061" w:rsidRPr="008127A0">
        <w:rPr>
          <w:rFonts w:ascii="Arial" w:eastAsia="MS Mincho" w:hAnsi="Arial" w:cs="Arial"/>
          <w:sz w:val="24"/>
          <w:szCs w:val="24"/>
        </w:rPr>
        <w:t>i</w:t>
      </w:r>
      <w:r w:rsidRPr="008127A0">
        <w:rPr>
          <w:rFonts w:ascii="Arial" w:eastAsia="MS Mincho" w:hAnsi="Arial" w:cs="Arial"/>
          <w:sz w:val="24"/>
          <w:szCs w:val="24"/>
        </w:rPr>
        <w:t xml:space="preserve">s undertaken more than 10 years ago. </w:t>
      </w:r>
      <w:r w:rsidR="00F23061" w:rsidRPr="008127A0">
        <w:rPr>
          <w:rFonts w:ascii="Arial" w:eastAsia="MS Mincho" w:hAnsi="Arial" w:cs="Arial"/>
          <w:sz w:val="24"/>
          <w:szCs w:val="24"/>
        </w:rPr>
        <w:t>The reservoir</w:t>
      </w:r>
      <w:r w:rsidRPr="008127A0">
        <w:rPr>
          <w:rFonts w:ascii="Arial" w:eastAsia="MS Mincho" w:hAnsi="Arial" w:cs="Arial"/>
          <w:sz w:val="24"/>
          <w:szCs w:val="24"/>
        </w:rPr>
        <w:t xml:space="preserve"> is a pure dolomite reef. Figure 1 illustrates the initial interpretation; Figure 2 shows the revised interpretation after production history and thin sections were reviewed. Figure 3 illustrates the different rock types on a porosity versus water saturation plot. Rock units with similar pore geometries fall along constant porosity </w:t>
      </w:r>
      <w:r w:rsidR="008E291F" w:rsidRPr="008127A0">
        <w:rPr>
          <w:rFonts w:ascii="Arial" w:eastAsia="MS Mincho" w:hAnsi="Arial" w:cs="Arial"/>
          <w:sz w:val="24"/>
          <w:szCs w:val="24"/>
        </w:rPr>
        <w:t xml:space="preserve">– </w:t>
      </w:r>
      <w:r w:rsidRPr="008127A0">
        <w:rPr>
          <w:rFonts w:ascii="Arial" w:eastAsia="MS Mincho" w:hAnsi="Arial" w:cs="Arial"/>
          <w:sz w:val="24"/>
          <w:szCs w:val="24"/>
        </w:rPr>
        <w:t xml:space="preserve">water saturation hyperbola. </w:t>
      </w:r>
    </w:p>
    <w:p w14:paraId="483C7B4F" w14:textId="77777777" w:rsidR="00960619" w:rsidRPr="008127A0" w:rsidRDefault="00960619" w:rsidP="0081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rFonts w:ascii="Arial" w:hAnsi="Arial" w:cs="Arial"/>
          <w:sz w:val="24"/>
          <w:szCs w:val="24"/>
        </w:rPr>
      </w:pPr>
    </w:p>
    <w:p w14:paraId="56B01A50" w14:textId="77777777" w:rsidR="00531D07" w:rsidRDefault="00166BFF" w:rsidP="0081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center"/>
        <w:rPr>
          <w:rFonts w:ascii="Arial" w:hAnsi="Arial" w:cs="Arial"/>
          <w:bCs/>
          <w:i/>
          <w:sz w:val="24"/>
          <w:szCs w:val="24"/>
        </w:rPr>
      </w:pPr>
      <w:r w:rsidRPr="008127A0">
        <w:rPr>
          <w:rFonts w:ascii="Arial" w:hAnsi="Arial" w:cs="Arial"/>
          <w:noProof/>
          <w:sz w:val="24"/>
          <w:szCs w:val="24"/>
          <w:lang w:val="en-CA" w:eastAsia="en-CA"/>
        </w:rPr>
        <w:lastRenderedPageBreak/>
        <w:drawing>
          <wp:inline distT="0" distB="0" distL="0" distR="0" wp14:anchorId="7D2B2014" wp14:editId="7A7AAA08">
            <wp:extent cx="5943600" cy="8143875"/>
            <wp:effectExtent l="38100" t="38100" r="38100" b="47625"/>
            <wp:docPr id="1" name="Picture 1" descr="Myth_3_F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th_3_Fig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w="38100" cmpd="sng">
                      <a:solidFill>
                        <a:srgbClr val="000000"/>
                      </a:solidFill>
                      <a:miter lim="800000"/>
                      <a:headEnd/>
                      <a:tailEnd/>
                    </a:ln>
                    <a:effectLst/>
                  </pic:spPr>
                </pic:pic>
              </a:graphicData>
            </a:graphic>
          </wp:inline>
        </w:drawing>
      </w:r>
    </w:p>
    <w:p w14:paraId="53535679" w14:textId="1528BB8F" w:rsidR="00960619" w:rsidRPr="00531D07" w:rsidRDefault="00960619" w:rsidP="0081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center"/>
        <w:rPr>
          <w:rFonts w:ascii="Arial" w:hAnsi="Arial" w:cs="Arial"/>
          <w:i/>
          <w:iCs/>
          <w:sz w:val="24"/>
          <w:szCs w:val="24"/>
        </w:rPr>
      </w:pPr>
      <w:r w:rsidRPr="008127A0">
        <w:rPr>
          <w:rFonts w:ascii="Arial" w:hAnsi="Arial" w:cs="Arial"/>
          <w:bCs/>
          <w:i/>
          <w:sz w:val="24"/>
          <w:szCs w:val="24"/>
        </w:rPr>
        <w:t xml:space="preserve">FIGURE 1: Example showing long apparent transition zone. Perfs in this interval produce </w:t>
      </w:r>
      <w:r w:rsidRPr="00531D07">
        <w:rPr>
          <w:rFonts w:ascii="Arial" w:hAnsi="Arial" w:cs="Arial"/>
          <w:bCs/>
          <w:i/>
          <w:iCs/>
          <w:sz w:val="24"/>
          <w:szCs w:val="24"/>
        </w:rPr>
        <w:t>clean oil so this cannot be a real transition zone.</w:t>
      </w:r>
    </w:p>
    <w:p w14:paraId="3F293274" w14:textId="77777777" w:rsidR="00960619" w:rsidRPr="008127A0" w:rsidRDefault="00166BFF" w:rsidP="0081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center"/>
        <w:rPr>
          <w:rFonts w:ascii="Arial" w:hAnsi="Arial" w:cs="Arial"/>
          <w:bCs/>
          <w:i/>
          <w:sz w:val="24"/>
          <w:szCs w:val="24"/>
        </w:rPr>
      </w:pPr>
      <w:r w:rsidRPr="008127A0">
        <w:rPr>
          <w:rFonts w:ascii="Arial" w:hAnsi="Arial" w:cs="Arial"/>
          <w:bCs/>
          <w:noProof/>
          <w:sz w:val="24"/>
          <w:szCs w:val="24"/>
          <w:lang w:val="en-CA" w:eastAsia="en-CA"/>
        </w:rPr>
        <w:lastRenderedPageBreak/>
        <w:drawing>
          <wp:inline distT="0" distB="0" distL="0" distR="0" wp14:anchorId="4ED9DE08" wp14:editId="1727ACC1">
            <wp:extent cx="5934075" cy="8048625"/>
            <wp:effectExtent l="38100" t="38100" r="47625" b="47625"/>
            <wp:docPr id="2" name="Picture 2" descr="Myth_3_Fi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th_3_Fig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048625"/>
                    </a:xfrm>
                    <a:prstGeom prst="rect">
                      <a:avLst/>
                    </a:prstGeom>
                    <a:noFill/>
                    <a:ln w="38100" cmpd="sng">
                      <a:solidFill>
                        <a:srgbClr val="000000"/>
                      </a:solidFill>
                      <a:miter lim="800000"/>
                      <a:headEnd/>
                      <a:tailEnd/>
                    </a:ln>
                    <a:effectLst/>
                  </pic:spPr>
                </pic:pic>
              </a:graphicData>
            </a:graphic>
          </wp:inline>
        </w:drawing>
      </w:r>
      <w:r w:rsidR="00960619" w:rsidRPr="008127A0">
        <w:rPr>
          <w:rFonts w:ascii="Arial" w:hAnsi="Arial" w:cs="Arial"/>
          <w:bCs/>
          <w:i/>
          <w:sz w:val="24"/>
          <w:szCs w:val="24"/>
        </w:rPr>
        <w:t>FIGURE 2: Same example with short transition zone adjusted to agree with production data.</w:t>
      </w:r>
      <w:r w:rsidR="008B7158" w:rsidRPr="008127A0">
        <w:rPr>
          <w:rFonts w:ascii="Arial" w:hAnsi="Arial" w:cs="Arial"/>
          <w:bCs/>
          <w:i/>
          <w:sz w:val="24"/>
          <w:szCs w:val="24"/>
        </w:rPr>
        <w:t xml:space="preserve"> </w:t>
      </w:r>
      <w:r w:rsidR="00960619" w:rsidRPr="008127A0">
        <w:rPr>
          <w:rFonts w:ascii="Arial" w:hAnsi="Arial" w:cs="Arial"/>
          <w:bCs/>
          <w:i/>
          <w:sz w:val="24"/>
          <w:szCs w:val="24"/>
        </w:rPr>
        <w:t>The black bar in the saturation track shows the perforated interval.</w:t>
      </w:r>
    </w:p>
    <w:p w14:paraId="2A816575" w14:textId="6DA3107E" w:rsidR="00960619" w:rsidRPr="008127A0" w:rsidRDefault="00960619" w:rsidP="0081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rFonts w:ascii="Arial" w:hAnsi="Arial" w:cs="Arial"/>
          <w:sz w:val="24"/>
          <w:szCs w:val="24"/>
        </w:rPr>
      </w:pPr>
      <w:r w:rsidRPr="008127A0">
        <w:rPr>
          <w:rFonts w:ascii="Arial" w:hAnsi="Arial" w:cs="Arial"/>
          <w:bCs/>
          <w:sz w:val="24"/>
          <w:szCs w:val="24"/>
        </w:rPr>
        <w:lastRenderedPageBreak/>
        <w:t xml:space="preserve">The steps shown in the saturation </w:t>
      </w:r>
      <w:r w:rsidR="00527B91" w:rsidRPr="008127A0">
        <w:rPr>
          <w:rFonts w:ascii="Arial" w:hAnsi="Arial" w:cs="Arial"/>
          <w:bCs/>
          <w:sz w:val="24"/>
          <w:szCs w:val="24"/>
        </w:rPr>
        <w:t>profile</w:t>
      </w:r>
      <w:r w:rsidRPr="008127A0">
        <w:rPr>
          <w:rFonts w:ascii="Arial" w:hAnsi="Arial" w:cs="Arial"/>
          <w:bCs/>
          <w:sz w:val="24"/>
          <w:szCs w:val="24"/>
        </w:rPr>
        <w:t xml:space="preserve"> represent pore geometry changes caused by progressively increasing isolated vugs. The porosity times water saturation product defines different "rock types</w:t>
      </w:r>
      <w:r w:rsidR="00F23061" w:rsidRPr="008127A0">
        <w:rPr>
          <w:rFonts w:ascii="Arial" w:hAnsi="Arial" w:cs="Arial"/>
          <w:bCs/>
          <w:sz w:val="24"/>
          <w:szCs w:val="24"/>
        </w:rPr>
        <w:t>”</w:t>
      </w:r>
      <w:r w:rsidRPr="008127A0">
        <w:rPr>
          <w:rFonts w:ascii="Arial" w:hAnsi="Arial" w:cs="Arial"/>
          <w:bCs/>
          <w:sz w:val="24"/>
          <w:szCs w:val="24"/>
        </w:rPr>
        <w:t xml:space="preserve"> or pore geometry facies. These are shown best in a porosity vs water saturation crossplot with different colours</w:t>
      </w:r>
      <w:r w:rsidR="00531D07">
        <w:rPr>
          <w:rFonts w:ascii="Arial" w:hAnsi="Arial" w:cs="Arial"/>
          <w:bCs/>
          <w:sz w:val="24"/>
          <w:szCs w:val="24"/>
        </w:rPr>
        <w:t xml:space="preserve"> to</w:t>
      </w:r>
      <w:r w:rsidRPr="008127A0">
        <w:rPr>
          <w:rFonts w:ascii="Arial" w:hAnsi="Arial" w:cs="Arial"/>
          <w:bCs/>
          <w:sz w:val="24"/>
          <w:szCs w:val="24"/>
        </w:rPr>
        <w:t xml:space="preserve"> indicate the different facies, as shown in Figure 3.</w:t>
      </w:r>
    </w:p>
    <w:p w14:paraId="411E00C3" w14:textId="77777777" w:rsidR="00960619" w:rsidRPr="008127A0" w:rsidRDefault="00166BFF" w:rsidP="0081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center"/>
        <w:rPr>
          <w:rFonts w:ascii="Arial" w:hAnsi="Arial" w:cs="Arial"/>
          <w:sz w:val="24"/>
          <w:szCs w:val="24"/>
        </w:rPr>
      </w:pPr>
      <w:r w:rsidRPr="008127A0">
        <w:rPr>
          <w:rFonts w:ascii="Arial" w:hAnsi="Arial" w:cs="Arial"/>
          <w:noProof/>
          <w:sz w:val="24"/>
          <w:szCs w:val="24"/>
          <w:lang w:val="en-CA" w:eastAsia="en-CA"/>
        </w:rPr>
        <w:drawing>
          <wp:inline distT="0" distB="0" distL="0" distR="0" wp14:anchorId="681B2567" wp14:editId="7476D095">
            <wp:extent cx="5943600" cy="7115175"/>
            <wp:effectExtent l="38100" t="38100" r="38100" b="47625"/>
            <wp:docPr id="3" name="Picture 3" descr="Myth_3_Fi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th_3_Fig_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115175"/>
                    </a:xfrm>
                    <a:prstGeom prst="rect">
                      <a:avLst/>
                    </a:prstGeom>
                    <a:noFill/>
                    <a:ln w="38100" cmpd="sng">
                      <a:solidFill>
                        <a:srgbClr val="000000"/>
                      </a:solidFill>
                      <a:miter lim="800000"/>
                      <a:headEnd/>
                      <a:tailEnd/>
                    </a:ln>
                    <a:effectLst/>
                  </pic:spPr>
                </pic:pic>
              </a:graphicData>
            </a:graphic>
          </wp:inline>
        </w:drawing>
      </w:r>
      <w:r w:rsidR="00960619" w:rsidRPr="008127A0">
        <w:rPr>
          <w:rFonts w:ascii="Arial" w:hAnsi="Arial" w:cs="Arial"/>
          <w:bCs/>
          <w:i/>
          <w:sz w:val="24"/>
          <w:szCs w:val="24"/>
        </w:rPr>
        <w:t>FIGURE 3: Porosity vs Water Saturation crossplot showing different rock types tracing different hyperbolic trends.</w:t>
      </w:r>
      <w:r w:rsidR="00F23061" w:rsidRPr="008127A0">
        <w:rPr>
          <w:rFonts w:ascii="Arial" w:hAnsi="Arial" w:cs="Arial"/>
          <w:bCs/>
          <w:i/>
          <w:sz w:val="24"/>
          <w:szCs w:val="24"/>
        </w:rPr>
        <w:t xml:space="preserve"> Notice the red triangles with very high water saturation at the bottom </w:t>
      </w:r>
      <w:r w:rsidR="008E291F" w:rsidRPr="008127A0">
        <w:rPr>
          <w:rFonts w:ascii="Arial" w:hAnsi="Arial" w:cs="Arial"/>
          <w:bCs/>
          <w:i/>
          <w:sz w:val="24"/>
          <w:szCs w:val="24"/>
        </w:rPr>
        <w:t>center and righ</w:t>
      </w:r>
      <w:r w:rsidR="00F23061" w:rsidRPr="008127A0">
        <w:rPr>
          <w:rFonts w:ascii="Arial" w:hAnsi="Arial" w:cs="Arial"/>
          <w:bCs/>
          <w:i/>
          <w:sz w:val="24"/>
          <w:szCs w:val="24"/>
        </w:rPr>
        <w:t xml:space="preserve">t – these </w:t>
      </w:r>
      <w:r w:rsidR="008E291F" w:rsidRPr="008127A0">
        <w:rPr>
          <w:rFonts w:ascii="Arial" w:hAnsi="Arial" w:cs="Arial"/>
          <w:bCs/>
          <w:i/>
          <w:sz w:val="24"/>
          <w:szCs w:val="24"/>
        </w:rPr>
        <w:t xml:space="preserve">points </w:t>
      </w:r>
      <w:r w:rsidR="00F23061" w:rsidRPr="008127A0">
        <w:rPr>
          <w:rFonts w:ascii="Arial" w:hAnsi="Arial" w:cs="Arial"/>
          <w:bCs/>
          <w:i/>
          <w:sz w:val="24"/>
          <w:szCs w:val="24"/>
        </w:rPr>
        <w:t>will not make any water.</w:t>
      </w:r>
      <w:r w:rsidR="006811D3" w:rsidRPr="008127A0">
        <w:rPr>
          <w:rFonts w:ascii="Arial" w:hAnsi="Arial" w:cs="Arial"/>
          <w:bCs/>
          <w:i/>
          <w:sz w:val="24"/>
          <w:szCs w:val="24"/>
        </w:rPr>
        <w:t xml:space="preserve"> The black “X” symbols at middle right are from the water and transition zones and will make water.</w:t>
      </w:r>
    </w:p>
    <w:p w14:paraId="371008B7" w14:textId="77777777" w:rsidR="00BF1C2F" w:rsidRPr="008127A0" w:rsidRDefault="006811D3" w:rsidP="008127A0">
      <w:pPr>
        <w:pStyle w:val="PlainText"/>
        <w:spacing w:line="276" w:lineRule="auto"/>
        <w:rPr>
          <w:rFonts w:ascii="Arial" w:eastAsia="MS Mincho" w:hAnsi="Arial" w:cs="Arial"/>
          <w:sz w:val="24"/>
          <w:szCs w:val="24"/>
        </w:rPr>
      </w:pPr>
      <w:r w:rsidRPr="008127A0">
        <w:rPr>
          <w:rFonts w:ascii="Arial" w:eastAsia="MS Mincho" w:hAnsi="Arial" w:cs="Arial"/>
          <w:sz w:val="24"/>
          <w:szCs w:val="24"/>
        </w:rPr>
        <w:lastRenderedPageBreak/>
        <w:t xml:space="preserve">It takes a sharp eye </w:t>
      </w:r>
      <w:r w:rsidR="00527B91" w:rsidRPr="008127A0">
        <w:rPr>
          <w:rFonts w:ascii="Arial" w:eastAsia="MS Mincho" w:hAnsi="Arial" w:cs="Arial"/>
          <w:sz w:val="24"/>
          <w:szCs w:val="24"/>
        </w:rPr>
        <w:t xml:space="preserve">to </w:t>
      </w:r>
      <w:r w:rsidRPr="008127A0">
        <w:rPr>
          <w:rFonts w:ascii="Arial" w:eastAsia="MS Mincho" w:hAnsi="Arial" w:cs="Arial"/>
          <w:sz w:val="24"/>
          <w:szCs w:val="24"/>
        </w:rPr>
        <w:t>stay dry</w:t>
      </w:r>
      <w:r w:rsidR="00960619" w:rsidRPr="008127A0">
        <w:rPr>
          <w:rFonts w:ascii="Arial" w:eastAsia="MS Mincho" w:hAnsi="Arial" w:cs="Arial"/>
          <w:sz w:val="24"/>
          <w:szCs w:val="24"/>
        </w:rPr>
        <w:t xml:space="preserve"> </w:t>
      </w:r>
      <w:r w:rsidRPr="008127A0">
        <w:rPr>
          <w:rFonts w:ascii="Arial" w:eastAsia="MS Mincho" w:hAnsi="Arial" w:cs="Arial"/>
          <w:sz w:val="24"/>
          <w:szCs w:val="24"/>
        </w:rPr>
        <w:t>in heavy weather.</w:t>
      </w:r>
      <w:r w:rsidR="00573C0D" w:rsidRPr="008127A0">
        <w:rPr>
          <w:rFonts w:ascii="Arial" w:eastAsia="MS Mincho" w:hAnsi="Arial" w:cs="Arial"/>
          <w:sz w:val="24"/>
          <w:szCs w:val="24"/>
        </w:rPr>
        <w:t xml:space="preserve"> </w:t>
      </w:r>
      <w:r w:rsidR="008E291F" w:rsidRPr="008127A0">
        <w:rPr>
          <w:rFonts w:ascii="Arial" w:eastAsia="MS Mincho" w:hAnsi="Arial" w:cs="Arial"/>
          <w:sz w:val="24"/>
          <w:szCs w:val="24"/>
        </w:rPr>
        <w:t xml:space="preserve">An integrated approach to petrophysics is your life preserver when it comes to predicting </w:t>
      </w:r>
      <w:r w:rsidR="00EC399C" w:rsidRPr="008127A0">
        <w:rPr>
          <w:rFonts w:ascii="Arial" w:eastAsia="MS Mincho" w:hAnsi="Arial" w:cs="Arial"/>
          <w:sz w:val="24"/>
          <w:szCs w:val="24"/>
        </w:rPr>
        <w:t xml:space="preserve">the possibility </w:t>
      </w:r>
      <w:r w:rsidR="00527B91" w:rsidRPr="008127A0">
        <w:rPr>
          <w:rFonts w:ascii="Arial" w:eastAsia="MS Mincho" w:hAnsi="Arial" w:cs="Arial"/>
          <w:sz w:val="24"/>
          <w:szCs w:val="24"/>
        </w:rPr>
        <w:t xml:space="preserve">of </w:t>
      </w:r>
      <w:r w:rsidR="008E291F" w:rsidRPr="008127A0">
        <w:rPr>
          <w:rFonts w:ascii="Arial" w:eastAsia="MS Mincho" w:hAnsi="Arial" w:cs="Arial"/>
          <w:sz w:val="24"/>
          <w:szCs w:val="24"/>
        </w:rPr>
        <w:t>water production.</w:t>
      </w:r>
      <w:r w:rsidR="00EC399C" w:rsidRPr="008127A0">
        <w:rPr>
          <w:rFonts w:ascii="Arial" w:eastAsia="MS Mincho" w:hAnsi="Arial" w:cs="Arial"/>
          <w:sz w:val="24"/>
          <w:szCs w:val="24"/>
        </w:rPr>
        <w:t xml:space="preserve"> </w:t>
      </w:r>
      <w:r w:rsidRPr="008127A0">
        <w:rPr>
          <w:rFonts w:ascii="Arial" w:eastAsia="MS Mincho" w:hAnsi="Arial" w:cs="Arial"/>
          <w:sz w:val="24"/>
          <w:szCs w:val="24"/>
        </w:rPr>
        <w:br/>
      </w:r>
    </w:p>
    <w:sectPr w:rsidR="00BF1C2F" w:rsidRPr="008127A0" w:rsidSect="00E11EAD">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ds9mPkMQxydCokLOakNyg8BQ6eXcUj/6BRdV0EGW/VwRwzF1X60ZjbOQAFStf6CHqnmwZ5M6VFzEdi3ds6QkQ==" w:salt="MDpiXIFeWTryLqXbrnjzM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0E8"/>
    <w:rsid w:val="00001737"/>
    <w:rsid w:val="00002232"/>
    <w:rsid w:val="00035761"/>
    <w:rsid w:val="00040181"/>
    <w:rsid w:val="000465F9"/>
    <w:rsid w:val="00063918"/>
    <w:rsid w:val="00065F2B"/>
    <w:rsid w:val="0007233B"/>
    <w:rsid w:val="000816D6"/>
    <w:rsid w:val="00084515"/>
    <w:rsid w:val="0009226B"/>
    <w:rsid w:val="000C68D1"/>
    <w:rsid w:val="000D63DC"/>
    <w:rsid w:val="000D66B5"/>
    <w:rsid w:val="000E1298"/>
    <w:rsid w:val="000F5857"/>
    <w:rsid w:val="00130C96"/>
    <w:rsid w:val="00133B6E"/>
    <w:rsid w:val="001401EE"/>
    <w:rsid w:val="00157C95"/>
    <w:rsid w:val="00166BFF"/>
    <w:rsid w:val="0017596B"/>
    <w:rsid w:val="00182945"/>
    <w:rsid w:val="001A02A4"/>
    <w:rsid w:val="001B19C3"/>
    <w:rsid w:val="001C39DC"/>
    <w:rsid w:val="001C572B"/>
    <w:rsid w:val="0021682E"/>
    <w:rsid w:val="00246281"/>
    <w:rsid w:val="00267DBF"/>
    <w:rsid w:val="00277410"/>
    <w:rsid w:val="003256DF"/>
    <w:rsid w:val="00333014"/>
    <w:rsid w:val="003434DB"/>
    <w:rsid w:val="00347E3C"/>
    <w:rsid w:val="00387051"/>
    <w:rsid w:val="003874D6"/>
    <w:rsid w:val="00390F77"/>
    <w:rsid w:val="00392C45"/>
    <w:rsid w:val="003D3930"/>
    <w:rsid w:val="003D5E49"/>
    <w:rsid w:val="003E4814"/>
    <w:rsid w:val="003F46A8"/>
    <w:rsid w:val="0040476A"/>
    <w:rsid w:val="00404A37"/>
    <w:rsid w:val="00407659"/>
    <w:rsid w:val="00410848"/>
    <w:rsid w:val="0042245D"/>
    <w:rsid w:val="00445C16"/>
    <w:rsid w:val="00455363"/>
    <w:rsid w:val="00455589"/>
    <w:rsid w:val="00490CBD"/>
    <w:rsid w:val="004B30F7"/>
    <w:rsid w:val="004C3AC9"/>
    <w:rsid w:val="004D126D"/>
    <w:rsid w:val="004D2706"/>
    <w:rsid w:val="0051556B"/>
    <w:rsid w:val="00527B91"/>
    <w:rsid w:val="00531D07"/>
    <w:rsid w:val="00532E3F"/>
    <w:rsid w:val="00534904"/>
    <w:rsid w:val="00554BD7"/>
    <w:rsid w:val="00557F66"/>
    <w:rsid w:val="00573C0D"/>
    <w:rsid w:val="005A4A55"/>
    <w:rsid w:val="005A4FA3"/>
    <w:rsid w:val="005F7378"/>
    <w:rsid w:val="00607CDC"/>
    <w:rsid w:val="00664B76"/>
    <w:rsid w:val="006811D3"/>
    <w:rsid w:val="00685C4B"/>
    <w:rsid w:val="006927CB"/>
    <w:rsid w:val="006B2B1C"/>
    <w:rsid w:val="006D42F9"/>
    <w:rsid w:val="00700AFE"/>
    <w:rsid w:val="00727DB9"/>
    <w:rsid w:val="0079701D"/>
    <w:rsid w:val="007A3AA2"/>
    <w:rsid w:val="007A740A"/>
    <w:rsid w:val="007B1D73"/>
    <w:rsid w:val="007C7920"/>
    <w:rsid w:val="007D6D31"/>
    <w:rsid w:val="007E54DD"/>
    <w:rsid w:val="00802252"/>
    <w:rsid w:val="008127A0"/>
    <w:rsid w:val="00823A35"/>
    <w:rsid w:val="008254D9"/>
    <w:rsid w:val="008735F4"/>
    <w:rsid w:val="00882C6B"/>
    <w:rsid w:val="00894539"/>
    <w:rsid w:val="008B7158"/>
    <w:rsid w:val="008D3041"/>
    <w:rsid w:val="008D3310"/>
    <w:rsid w:val="008D523A"/>
    <w:rsid w:val="008E291F"/>
    <w:rsid w:val="008E29FF"/>
    <w:rsid w:val="009007D0"/>
    <w:rsid w:val="0091684F"/>
    <w:rsid w:val="00920352"/>
    <w:rsid w:val="009318F6"/>
    <w:rsid w:val="0093265F"/>
    <w:rsid w:val="00944084"/>
    <w:rsid w:val="0094673D"/>
    <w:rsid w:val="00950165"/>
    <w:rsid w:val="00952E65"/>
    <w:rsid w:val="00952F54"/>
    <w:rsid w:val="00960619"/>
    <w:rsid w:val="00971EDD"/>
    <w:rsid w:val="00976B26"/>
    <w:rsid w:val="00976FEC"/>
    <w:rsid w:val="009952BA"/>
    <w:rsid w:val="009A50E8"/>
    <w:rsid w:val="009E21E8"/>
    <w:rsid w:val="009F61DE"/>
    <w:rsid w:val="00A048AC"/>
    <w:rsid w:val="00A13D5C"/>
    <w:rsid w:val="00A2235A"/>
    <w:rsid w:val="00A22FF3"/>
    <w:rsid w:val="00A231AE"/>
    <w:rsid w:val="00A26D66"/>
    <w:rsid w:val="00A4637B"/>
    <w:rsid w:val="00A57553"/>
    <w:rsid w:val="00A62DF0"/>
    <w:rsid w:val="00A65984"/>
    <w:rsid w:val="00A75C7E"/>
    <w:rsid w:val="00A80B1C"/>
    <w:rsid w:val="00A903CE"/>
    <w:rsid w:val="00A93A92"/>
    <w:rsid w:val="00AA39B4"/>
    <w:rsid w:val="00AB17EA"/>
    <w:rsid w:val="00AE5DCC"/>
    <w:rsid w:val="00B04F51"/>
    <w:rsid w:val="00B07D0D"/>
    <w:rsid w:val="00B22338"/>
    <w:rsid w:val="00B5617A"/>
    <w:rsid w:val="00B65925"/>
    <w:rsid w:val="00B75B6E"/>
    <w:rsid w:val="00B93075"/>
    <w:rsid w:val="00BA6CC2"/>
    <w:rsid w:val="00BC3968"/>
    <w:rsid w:val="00BC79D5"/>
    <w:rsid w:val="00BE1583"/>
    <w:rsid w:val="00BE33DD"/>
    <w:rsid w:val="00BF1C2F"/>
    <w:rsid w:val="00C06005"/>
    <w:rsid w:val="00C23406"/>
    <w:rsid w:val="00C31578"/>
    <w:rsid w:val="00C50137"/>
    <w:rsid w:val="00C53E80"/>
    <w:rsid w:val="00C734E3"/>
    <w:rsid w:val="00CA33FA"/>
    <w:rsid w:val="00CA715F"/>
    <w:rsid w:val="00CB1B95"/>
    <w:rsid w:val="00CB26E5"/>
    <w:rsid w:val="00CB5807"/>
    <w:rsid w:val="00CC12CE"/>
    <w:rsid w:val="00CC4ADF"/>
    <w:rsid w:val="00D02760"/>
    <w:rsid w:val="00D13498"/>
    <w:rsid w:val="00D71C82"/>
    <w:rsid w:val="00D74D5B"/>
    <w:rsid w:val="00D812C4"/>
    <w:rsid w:val="00D8262C"/>
    <w:rsid w:val="00D910CF"/>
    <w:rsid w:val="00DA4644"/>
    <w:rsid w:val="00DB02E9"/>
    <w:rsid w:val="00DB7934"/>
    <w:rsid w:val="00DD5FF4"/>
    <w:rsid w:val="00DE23C7"/>
    <w:rsid w:val="00DE4B56"/>
    <w:rsid w:val="00DF7BF3"/>
    <w:rsid w:val="00E068A4"/>
    <w:rsid w:val="00E11EAD"/>
    <w:rsid w:val="00E3242F"/>
    <w:rsid w:val="00E53420"/>
    <w:rsid w:val="00E53AA6"/>
    <w:rsid w:val="00E53F5E"/>
    <w:rsid w:val="00E6332E"/>
    <w:rsid w:val="00E73D8E"/>
    <w:rsid w:val="00E77983"/>
    <w:rsid w:val="00E859B4"/>
    <w:rsid w:val="00EB158E"/>
    <w:rsid w:val="00EC399C"/>
    <w:rsid w:val="00EC7DBF"/>
    <w:rsid w:val="00EE36DB"/>
    <w:rsid w:val="00EF58C4"/>
    <w:rsid w:val="00F23061"/>
    <w:rsid w:val="00F255B6"/>
    <w:rsid w:val="00F30B6D"/>
    <w:rsid w:val="00F35808"/>
    <w:rsid w:val="00F44369"/>
    <w:rsid w:val="00F47E5D"/>
    <w:rsid w:val="00F5295F"/>
    <w:rsid w:val="00F53622"/>
    <w:rsid w:val="00F57D3A"/>
    <w:rsid w:val="00F97EC0"/>
    <w:rsid w:val="00FB5010"/>
    <w:rsid w:val="00FD03FA"/>
    <w:rsid w:val="00FE2A23"/>
    <w:rsid w:val="00FF5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C81D"/>
  <w15:docId w15:val="{F14D96AE-CFA8-400F-82BA-71C3E634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0E8"/>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50E8"/>
    <w:rPr>
      <w:strike w:val="0"/>
      <w:dstrike w:val="0"/>
      <w:color w:val="0066CC"/>
      <w:u w:val="none"/>
      <w:effect w:val="none"/>
    </w:rPr>
  </w:style>
  <w:style w:type="paragraph" w:styleId="HTMLPreformatted">
    <w:name w:val="HTML Preformatted"/>
    <w:basedOn w:val="Normal"/>
    <w:rsid w:val="009A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rsid w:val="009A50E8"/>
    <w:pPr>
      <w:spacing w:before="100" w:beforeAutospacing="1" w:after="100" w:afterAutospacing="1"/>
    </w:pPr>
  </w:style>
  <w:style w:type="paragraph" w:styleId="NormalWeb">
    <w:name w:val="Normal (Web)"/>
    <w:basedOn w:val="Normal"/>
    <w:rsid w:val="00F5295F"/>
    <w:pPr>
      <w:spacing w:before="100" w:beforeAutospacing="1" w:after="100" w:afterAutospacing="1"/>
    </w:pPr>
  </w:style>
  <w:style w:type="paragraph" w:styleId="BalloonText">
    <w:name w:val="Balloon Text"/>
    <w:basedOn w:val="Normal"/>
    <w:link w:val="BalloonTextChar"/>
    <w:rsid w:val="00F57D3A"/>
    <w:rPr>
      <w:rFonts w:ascii="Tahoma" w:hAnsi="Tahoma" w:cs="Tahoma"/>
      <w:sz w:val="16"/>
      <w:szCs w:val="16"/>
    </w:rPr>
  </w:style>
  <w:style w:type="character" w:customStyle="1" w:styleId="BalloonTextChar">
    <w:name w:val="Balloon Text Char"/>
    <w:basedOn w:val="DefaultParagraphFont"/>
    <w:link w:val="BalloonText"/>
    <w:rsid w:val="00F57D3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556</Words>
  <Characters>3175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MYTH-INTERPRETATION</vt:lpstr>
    </vt:vector>
  </TitlesOfParts>
  <Company/>
  <LinksUpToDate>false</LinksUpToDate>
  <CharactersWithSpaces>3724</CharactersWithSpaces>
  <SharedDoc>false</SharedDoc>
  <HLinks>
    <vt:vector size="12" baseType="variant">
      <vt:variant>
        <vt:i4>5046395</vt:i4>
      </vt:variant>
      <vt:variant>
        <vt:i4>3</vt:i4>
      </vt:variant>
      <vt:variant>
        <vt:i4>0</vt:i4>
      </vt:variant>
      <vt:variant>
        <vt:i4>5</vt:i4>
      </vt:variant>
      <vt:variant>
        <vt:lpwstr>mailto:editor@cwls.org</vt:lpwstr>
      </vt:variant>
      <vt:variant>
        <vt:lpwstr/>
      </vt:variant>
      <vt:variant>
        <vt:i4>2752521</vt:i4>
      </vt:variant>
      <vt:variant>
        <vt:i4>0</vt:i4>
      </vt:variant>
      <vt:variant>
        <vt:i4>0</vt:i4>
      </vt:variant>
      <vt:variant>
        <vt:i4>5</vt:i4>
      </vt:variant>
      <vt:variant>
        <vt:lpwstr>mailto:ross@spec2000.net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MYTH-INTERPRETATION</dc:title>
  <dc:creator>Ross Crain</dc:creator>
  <cp:lastModifiedBy>sandra bleue</cp:lastModifiedBy>
  <cp:revision>14</cp:revision>
  <dcterms:created xsi:type="dcterms:W3CDTF">2018-10-25T02:03:00Z</dcterms:created>
  <dcterms:modified xsi:type="dcterms:W3CDTF">2022-12-29T20:39:00Z</dcterms:modified>
</cp:coreProperties>
</file>